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46E8" w:rsidRDefault="003F4DFD">
      <w:r w:rsidRPr="003F4DFD">
        <w:t xml:space="preserve">Requerimos obras hidráulicas para conducir el agua desde </w:t>
      </w:r>
      <w:proofErr w:type="gramStart"/>
      <w:r w:rsidRPr="003F4DFD">
        <w:t>el canal San José al canal San Francisco, las cuales deben estar operativas</w:t>
      </w:r>
      <w:proofErr w:type="gramEnd"/>
      <w:r w:rsidRPr="003F4DFD">
        <w:t xml:space="preserve"> en cuando se entreguen las obras del canal en diciembre de 2026. Para esto, es necesario, en primer lugar, contar con un proyecto hidráulico a fin de cotizar las obras más adelante.</w:t>
      </w:r>
      <w:r>
        <w:t xml:space="preserve"> </w:t>
      </w:r>
    </w:p>
    <w:p w:rsidR="003F4DFD" w:rsidRDefault="003F4DFD"/>
    <w:p w:rsidR="003F4DFD" w:rsidRDefault="003F4DFD">
      <w:r w:rsidRPr="003F4DFD">
        <w:t>Base topográfica a 25cm o mayor resolución para una superficie de 2 hectáreas. Diseño y especificaciones de canal abierto de 250m con capacidad de conducción de 350 l/s entre punto de entrega y cota de salida (canal de descarga). Diseño de marco partidor y canal secundario para conducir 10 l/s entre canal a proyectar y aclarador (ya existente) – puede requerir diseño de pozo de acumulación y reimpuso con bomba por falta de cota.</w:t>
      </w:r>
      <w:bookmarkStart w:id="0" w:name="_GoBack"/>
      <w:bookmarkEnd w:id="0"/>
    </w:p>
    <w:sectPr w:rsidR="003F4D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DFD"/>
    <w:rsid w:val="003F4DFD"/>
    <w:rsid w:val="00A04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CE946-5F4E-4CC2-87BF-FD0F1B68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115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Pinolef Aro</dc:creator>
  <cp:keywords/>
  <dc:description/>
  <cp:lastModifiedBy>Alex Pinolef Aro</cp:lastModifiedBy>
  <cp:revision>1</cp:revision>
  <dcterms:created xsi:type="dcterms:W3CDTF">2026-06-15T14:10:00Z</dcterms:created>
  <dcterms:modified xsi:type="dcterms:W3CDTF">2026-06-15T14:29:00Z</dcterms:modified>
</cp:coreProperties>
</file>