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FF71E" w14:textId="2C9383D7" w:rsidR="00153B70" w:rsidRPr="00153B70" w:rsidRDefault="00333922" w:rsidP="00153B70">
      <w:pPr>
        <w:jc w:val="both"/>
        <w:rPr>
          <w:rFonts w:eastAsiaTheme="minorHAnsi"/>
          <w:b/>
          <w:color w:val="auto"/>
          <w:sz w:val="36"/>
          <w:szCs w:val="36"/>
          <w:u w:val="single"/>
          <w:lang w:val="es-CL"/>
        </w:rPr>
      </w:pPr>
      <w:r w:rsidRPr="00333922">
        <w:rPr>
          <w:b/>
          <w:sz w:val="36"/>
          <w:szCs w:val="36"/>
        </w:rPr>
        <w:t xml:space="preserve">                    </w:t>
      </w:r>
      <w:r>
        <w:rPr>
          <w:b/>
          <w:sz w:val="36"/>
          <w:szCs w:val="36"/>
          <w:u w:val="single"/>
        </w:rPr>
        <w:t xml:space="preserve">  </w:t>
      </w:r>
      <w:r w:rsidR="00153B70" w:rsidRPr="00153B70">
        <w:rPr>
          <w:b/>
          <w:sz w:val="36"/>
          <w:szCs w:val="36"/>
          <w:u w:val="single"/>
        </w:rPr>
        <w:t>Las Multas y Aplicación de Multas</w:t>
      </w:r>
    </w:p>
    <w:p w14:paraId="4F47E97A" w14:textId="77777777" w:rsidR="00153B70" w:rsidRDefault="00153B70" w:rsidP="00153B70">
      <w:pPr>
        <w:jc w:val="both"/>
      </w:pPr>
    </w:p>
    <w:p w14:paraId="14D4D446" w14:textId="10814D14" w:rsidR="00153B70" w:rsidRDefault="00153B70" w:rsidP="00153B70">
      <w:pPr>
        <w:jc w:val="both"/>
      </w:pPr>
      <w:r>
        <w:t xml:space="preserve">En caso </w:t>
      </w:r>
      <w:r w:rsidR="00270AB4">
        <w:t xml:space="preserve">de </w:t>
      </w:r>
      <w:r>
        <w:t xml:space="preserve">que el contratista no </w:t>
      </w:r>
      <w:r w:rsidR="00270AB4">
        <w:t>entregue los</w:t>
      </w:r>
      <w:r>
        <w:t xml:space="preserve"> productos adjudicados en los mismos términos establecidos en</w:t>
      </w:r>
      <w:r w:rsidR="00270AB4">
        <w:t xml:space="preserve"> </w:t>
      </w:r>
      <w:r>
        <w:t>la orden de compra respectiva y demás antecedentes que conforman la presente licitación, en forma oportuna, correcta, conforme y satisfactoria, el mandante podrá aplicar una o más de las siguientes multas:</w:t>
      </w:r>
    </w:p>
    <w:p w14:paraId="252EA799" w14:textId="77777777" w:rsidR="00270AB4" w:rsidRDefault="00270AB4" w:rsidP="00153B70">
      <w:pPr>
        <w:jc w:val="both"/>
      </w:pPr>
    </w:p>
    <w:p w14:paraId="43E04AEF" w14:textId="4506FF54" w:rsidR="00153B70" w:rsidRDefault="006D61FC" w:rsidP="00153B70">
      <w:pPr>
        <w:jc w:val="both"/>
      </w:pPr>
      <w:r>
        <w:t>1</w:t>
      </w:r>
      <w:r w:rsidR="00153B70">
        <w:t>.- Las multas serán establecidas en un porcentaje proporcional al monto total de la compra, el que deberá rebajarse de la factura.</w:t>
      </w:r>
    </w:p>
    <w:p w14:paraId="0EA793EF" w14:textId="77777777" w:rsidR="00153B70" w:rsidRDefault="00153B70" w:rsidP="00153B70">
      <w:pPr>
        <w:jc w:val="both"/>
      </w:pPr>
    </w:p>
    <w:p w14:paraId="002B2EFF" w14:textId="720F2906" w:rsidR="002E0E10" w:rsidRDefault="00153B70" w:rsidP="00153B70">
      <w:pPr>
        <w:jc w:val="both"/>
      </w:pPr>
      <w:r>
        <w:t>•             1 (uno) Por Ciento (%), del valor total de la orden de compra por cada día hábil de atraso</w:t>
      </w:r>
      <w:r w:rsidR="00CB1880">
        <w:t xml:space="preserve"> en </w:t>
      </w:r>
      <w:r w:rsidR="00405CE3">
        <w:t>la entrega</w:t>
      </w:r>
      <w:r w:rsidR="00CB1880">
        <w:t xml:space="preserve"> de los productos adjudicados</w:t>
      </w:r>
      <w:r>
        <w:t>. Los productos deben ser entregados dentro del plazo de entrega establecido</w:t>
      </w:r>
      <w:r w:rsidR="00405CE3">
        <w:t xml:space="preserve"> en la Solicitud de Pedido. </w:t>
      </w:r>
    </w:p>
    <w:p w14:paraId="7A5900FE" w14:textId="6D686A51" w:rsidR="00870B2A" w:rsidRDefault="00E12B5D" w:rsidP="00E12B5D">
      <w:pPr>
        <w:jc w:val="both"/>
      </w:pPr>
      <w:r>
        <w:t>•             1 (uno) Por Ciento (%), del valor total de la orden de compr</w:t>
      </w:r>
      <w:r w:rsidR="0095120A">
        <w:t xml:space="preserve">a </w:t>
      </w:r>
      <w:r w:rsidR="0095120A" w:rsidRPr="0095120A">
        <w:t>por cada día hábil de atraso en la reposición de los productos</w:t>
      </w:r>
      <w:r w:rsidR="0095120A">
        <w:t xml:space="preserve">, </w:t>
      </w:r>
      <w:r w:rsidR="007C0D7B">
        <w:t>e</w:t>
      </w:r>
      <w:r w:rsidR="00D63AE9" w:rsidRPr="00D63AE9">
        <w:t xml:space="preserve">n caso de que </w:t>
      </w:r>
      <w:r w:rsidR="008044D6">
        <w:t>estos</w:t>
      </w:r>
      <w:r w:rsidR="00C0117F">
        <w:t xml:space="preserve"> </w:t>
      </w:r>
      <w:r w:rsidR="00D63AE9" w:rsidRPr="00D63AE9">
        <w:t>presente</w:t>
      </w:r>
      <w:r w:rsidR="007C0D7B">
        <w:t>n</w:t>
      </w:r>
      <w:r w:rsidR="00D63AE9" w:rsidRPr="00D63AE9">
        <w:t xml:space="preserve"> fallas o no se ajusten a lo solicitado </w:t>
      </w:r>
      <w:r w:rsidR="008400CD">
        <w:t>en la Solicitud de Pedido</w:t>
      </w:r>
      <w:r w:rsidR="00C0117F">
        <w:t xml:space="preserve">. El plazo </w:t>
      </w:r>
      <w:r w:rsidR="0015268E">
        <w:t xml:space="preserve">de reposición </w:t>
      </w:r>
      <w:r w:rsidR="00A20F6A">
        <w:t xml:space="preserve">será de 2 </w:t>
      </w:r>
      <w:r w:rsidR="00CC6D77">
        <w:t xml:space="preserve">días hábiles </w:t>
      </w:r>
      <w:r w:rsidR="00F448A6">
        <w:t xml:space="preserve">máximo </w:t>
      </w:r>
      <w:r w:rsidR="00CC6D77">
        <w:t xml:space="preserve">y </w:t>
      </w:r>
      <w:r w:rsidR="00C0117F">
        <w:t xml:space="preserve">comenzará a contar </w:t>
      </w:r>
      <w:r w:rsidR="000132D0">
        <w:t xml:space="preserve">desde la notificación </w:t>
      </w:r>
      <w:r w:rsidR="007C4724">
        <w:t xml:space="preserve">mediante correo electrónico </w:t>
      </w:r>
      <w:r w:rsidR="000132D0">
        <w:t xml:space="preserve">de la unidad técnica </w:t>
      </w:r>
      <w:r w:rsidR="00497BD5">
        <w:t>al proveedor adjudicado</w:t>
      </w:r>
      <w:r w:rsidR="007C4724">
        <w:t xml:space="preserve">. </w:t>
      </w:r>
    </w:p>
    <w:p w14:paraId="514250C5" w14:textId="7159D9C0" w:rsidR="002E0E10" w:rsidRDefault="002E0E10" w:rsidP="00E12B5D">
      <w:pPr>
        <w:jc w:val="both"/>
      </w:pPr>
      <w:r>
        <w:t>•             2 (dos) Por Ciento (%), del valor total de la orden de compra</w:t>
      </w:r>
      <w:r w:rsidR="00E01CB8">
        <w:t xml:space="preserve"> si la entrega de los productos no se realiza en la</w:t>
      </w:r>
      <w:r w:rsidR="00465A6F">
        <w:t xml:space="preserve"> modalidad indicada en la Solicitud de Pedido. </w:t>
      </w:r>
    </w:p>
    <w:p w14:paraId="0805BFB3" w14:textId="77777777" w:rsidR="00DA374D" w:rsidRDefault="00DA374D" w:rsidP="00E12B5D">
      <w:pPr>
        <w:jc w:val="both"/>
      </w:pPr>
    </w:p>
    <w:p w14:paraId="062992F1" w14:textId="6AFA222E" w:rsidR="00800FC4" w:rsidRDefault="00800FC4" w:rsidP="00E12B5D">
      <w:pPr>
        <w:jc w:val="both"/>
      </w:pPr>
      <w:r w:rsidRPr="00800FC4">
        <w:t xml:space="preserve">Con todo, las multas no podrán superar el 15% del valor total de la </w:t>
      </w:r>
      <w:r w:rsidR="00F75DE2">
        <w:t>orden de compra</w:t>
      </w:r>
      <w:r w:rsidRPr="00800FC4">
        <w:t>.</w:t>
      </w:r>
    </w:p>
    <w:p w14:paraId="6C02E0D3" w14:textId="77777777" w:rsidR="00270AB4" w:rsidRDefault="00270AB4" w:rsidP="00153B70">
      <w:pPr>
        <w:jc w:val="both"/>
      </w:pPr>
    </w:p>
    <w:p w14:paraId="3D8C7E0D" w14:textId="5851B4E0" w:rsidR="00153B70" w:rsidRDefault="006D61FC" w:rsidP="00153B70">
      <w:pPr>
        <w:jc w:val="both"/>
      </w:pPr>
      <w:r>
        <w:t>2</w:t>
      </w:r>
      <w:r w:rsidR="00153B70">
        <w:t xml:space="preserve">.- La unidad técnica emitirá el informe correspondiente </w:t>
      </w:r>
      <w:r w:rsidR="00742489">
        <w:t>al incumplimiento</w:t>
      </w:r>
      <w:r w:rsidR="007C0D7B">
        <w:t xml:space="preserve">. </w:t>
      </w:r>
    </w:p>
    <w:p w14:paraId="51CC85E6" w14:textId="56904F20" w:rsidR="00153B70" w:rsidRDefault="006D61FC" w:rsidP="00153B70">
      <w:pPr>
        <w:jc w:val="both"/>
      </w:pPr>
      <w:r>
        <w:t>3</w:t>
      </w:r>
      <w:r w:rsidR="00153B70">
        <w:t>.- La unidad técnica notificará al proveedor</w:t>
      </w:r>
      <w:r w:rsidR="0026605A">
        <w:t xml:space="preserve"> del incumplimiento</w:t>
      </w:r>
      <w:r w:rsidR="00153B70">
        <w:t xml:space="preserve"> por correo electrónico, una vez </w:t>
      </w:r>
      <w:r w:rsidR="00742489">
        <w:t xml:space="preserve">entregados los productos. </w:t>
      </w:r>
    </w:p>
    <w:p w14:paraId="2716B42E" w14:textId="00508E4C" w:rsidR="001B7318" w:rsidRDefault="006D61FC" w:rsidP="001B7318">
      <w:pPr>
        <w:jc w:val="both"/>
      </w:pPr>
      <w:r>
        <w:t>4</w:t>
      </w:r>
      <w:r w:rsidR="001B7318">
        <w:t>.- Se entenderá por notificada una multa, transcurridas 24 horas desde que la U.T. emita la notificación a través de correo electrónico.</w:t>
      </w:r>
    </w:p>
    <w:p w14:paraId="3A8A0AE6" w14:textId="2F0285AB" w:rsidR="004D238C" w:rsidRDefault="006D61FC" w:rsidP="00D12CC2">
      <w:pPr>
        <w:jc w:val="both"/>
      </w:pPr>
      <w:r>
        <w:t>5</w:t>
      </w:r>
      <w:r w:rsidR="00153B70">
        <w:t xml:space="preserve">.- </w:t>
      </w:r>
      <w:r w:rsidR="004D238C">
        <w:t>El contratista podrá presentar reclamación administrativa (descargos) de las multas cursadas por la Inspección Técnica. Dicha reclamación deberá presentarse por escrito ante la Unidad Técnica, en el plazo de 5 (cinco) días hábiles contados desde la notificación por parte de la Unidad Técnica y si fuera presentada extemporáneamente será rechazada de plano. La Unidad Técnica tendrá un plazo de 10 días hábiles para pronunciarse si acoge o rechaza la reclamación del contratista. Asimismo, todo reclamo efectuado en forma verbal se considerará como no oficial y por lo tanto sin validez</w:t>
      </w:r>
    </w:p>
    <w:p w14:paraId="4DE617B3" w14:textId="77777777" w:rsidR="004D238C" w:rsidRDefault="004D238C" w:rsidP="00D12CC2">
      <w:pPr>
        <w:jc w:val="both"/>
      </w:pPr>
      <w:r>
        <w:t xml:space="preserve">administrativa. </w:t>
      </w:r>
    </w:p>
    <w:p w14:paraId="0D60761E" w14:textId="77777777" w:rsidR="001D053B" w:rsidRDefault="001D053B" w:rsidP="00D12CC2">
      <w:pPr>
        <w:jc w:val="both"/>
      </w:pPr>
    </w:p>
    <w:p w14:paraId="6E0E51C0" w14:textId="77777777" w:rsidR="001D053B" w:rsidRDefault="001D053B" w:rsidP="00D12CC2">
      <w:pPr>
        <w:jc w:val="both"/>
      </w:pPr>
      <w:r>
        <w:t>En caso de rechazo total o parcial de la reclamación presentada por el contratista o no habiéndose</w:t>
      </w:r>
    </w:p>
    <w:p w14:paraId="2F396F62" w14:textId="77777777" w:rsidR="001D053B" w:rsidRDefault="001D053B" w:rsidP="00D12CC2">
      <w:pPr>
        <w:jc w:val="both"/>
      </w:pPr>
      <w:r>
        <w:t xml:space="preserve">pronunciado la Unidad Técnica dentro del plazo establecido en el párrafo anterior, el contratista podrá apelar dentro del plazo de 5 (cinco días) hábiles contados desde la notificación de la resolución, debiendo presentarse a la Unidad Técnica la apelación dirigida al Sr. </w:t>
      </w:r>
      <w:proofErr w:type="gramStart"/>
      <w:r>
        <w:t>Alcalde</w:t>
      </w:r>
      <w:proofErr w:type="gramEnd"/>
      <w:r>
        <w:t xml:space="preserve"> quien la resolverá. </w:t>
      </w:r>
    </w:p>
    <w:p w14:paraId="543DE6B7" w14:textId="77777777" w:rsidR="001D053B" w:rsidRDefault="001D053B" w:rsidP="00D12CC2">
      <w:pPr>
        <w:jc w:val="both"/>
      </w:pPr>
    </w:p>
    <w:p w14:paraId="3188ECE5" w14:textId="4CB3D619" w:rsidR="001D053B" w:rsidRDefault="001D053B" w:rsidP="00D12CC2">
      <w:pPr>
        <w:jc w:val="both"/>
      </w:pPr>
      <w:r>
        <w:t xml:space="preserve">La decisión del Sr. </w:t>
      </w:r>
      <w:proofErr w:type="gramStart"/>
      <w:r>
        <w:t>Alcalde</w:t>
      </w:r>
      <w:proofErr w:type="gramEnd"/>
      <w:r w:rsidR="00636791">
        <w:t xml:space="preserve">, </w:t>
      </w:r>
      <w:r w:rsidR="00636791" w:rsidRPr="00636791">
        <w:t>o por quien tenga delegada dicha atribución</w:t>
      </w:r>
      <w:r w:rsidR="00636791">
        <w:t>,</w:t>
      </w:r>
      <w:r>
        <w:t xml:space="preserve"> respecto de la apelación presentada por el contratista, será resuelta en un plazo de 10 días hábiles y dicha decisión será sancionada mediante el correspondiente Decreto</w:t>
      </w:r>
    </w:p>
    <w:p w14:paraId="6CF4DFD6" w14:textId="77777777" w:rsidR="001D053B" w:rsidRDefault="001D053B" w:rsidP="00D12CC2">
      <w:pPr>
        <w:jc w:val="both"/>
      </w:pPr>
      <w:r>
        <w:t>Alcaldicio.</w:t>
      </w:r>
    </w:p>
    <w:p w14:paraId="2D4A5CAE" w14:textId="77777777" w:rsidR="006D61FC" w:rsidRDefault="006D61FC" w:rsidP="00D12CC2">
      <w:pPr>
        <w:jc w:val="both"/>
      </w:pPr>
    </w:p>
    <w:p w14:paraId="22753497" w14:textId="084122FB" w:rsidR="001D053B" w:rsidRDefault="001D053B" w:rsidP="00D12CC2">
      <w:pPr>
        <w:jc w:val="both"/>
      </w:pPr>
      <w:r>
        <w:t>Toda decisión adoptada deberá ser sancionada por el respectivo Decreto Alcaldicio, el que deberá ser fundado. En contra de dicho acto administrativo procederán los recursos dispuestos en la Ley</w:t>
      </w:r>
      <w:r w:rsidR="00D12CC2">
        <w:t xml:space="preserve"> </w:t>
      </w:r>
      <w:r>
        <w:t>N°19.880, que establece Bases de los Procedimientos Administrativos que rigen los Actos de los</w:t>
      </w:r>
      <w:r w:rsidR="00D12CC2">
        <w:t xml:space="preserve"> </w:t>
      </w:r>
      <w:r>
        <w:t>Órganos de la Administración del Estado.</w:t>
      </w:r>
    </w:p>
    <w:p w14:paraId="20AB2CD2" w14:textId="77777777" w:rsidR="001D053B" w:rsidRDefault="001D053B" w:rsidP="00D12CC2">
      <w:pPr>
        <w:jc w:val="both"/>
      </w:pPr>
    </w:p>
    <w:p w14:paraId="056F40CD" w14:textId="77777777" w:rsidR="001D053B" w:rsidRDefault="001D053B" w:rsidP="00D12CC2">
      <w:pPr>
        <w:jc w:val="both"/>
      </w:pPr>
      <w:r>
        <w:t>La multa se entenderá ejecutoriada, cuando el contratista no haga uso de la reclamación (descargos)</w:t>
      </w:r>
    </w:p>
    <w:p w14:paraId="143E4643" w14:textId="045EAD37" w:rsidR="001D053B" w:rsidRDefault="001D053B" w:rsidP="00D12CC2">
      <w:pPr>
        <w:jc w:val="both"/>
      </w:pPr>
      <w:r>
        <w:t>y/o apelación en los términos establecidos en los párrafos anteriores, o habiéndose presentado estos</w:t>
      </w:r>
      <w:r w:rsidR="00D12CC2">
        <w:t xml:space="preserve"> </w:t>
      </w:r>
      <w:r>
        <w:t>dentro de los plazos hayan sido resueltos y notificados de conformidad a los párrafos anteriores.</w:t>
      </w:r>
    </w:p>
    <w:p w14:paraId="76B0E39A" w14:textId="77777777" w:rsidR="00D12CC2" w:rsidRDefault="00D12CC2" w:rsidP="00D12CC2">
      <w:pPr>
        <w:jc w:val="both"/>
      </w:pPr>
    </w:p>
    <w:p w14:paraId="69EA8FC9" w14:textId="02165B39" w:rsidR="001D053B" w:rsidRDefault="001D053B" w:rsidP="00D12CC2">
      <w:pPr>
        <w:jc w:val="both"/>
      </w:pPr>
      <w:r>
        <w:lastRenderedPageBreak/>
        <w:t>La aplicación de una multa no podrá implicar atraso alguno en el pago de facturas, descontando</w:t>
      </w:r>
      <w:r w:rsidR="00D12CC2">
        <w:t xml:space="preserve"> </w:t>
      </w:r>
      <w:r>
        <w:t>únicamente el monto de las multas del estado de pago correspondiente, en su caso, dicha multa no</w:t>
      </w:r>
    </w:p>
    <w:p w14:paraId="5D1F9ECE" w14:textId="63B554A7" w:rsidR="001D053B" w:rsidRDefault="001D053B" w:rsidP="00D12CC2">
      <w:pPr>
        <w:jc w:val="both"/>
      </w:pPr>
      <w:r>
        <w:t>podrá ser descontada sin que previamente se emita el correspondiente Decreto Alcaldicio que</w:t>
      </w:r>
      <w:r w:rsidR="00D12CC2">
        <w:t xml:space="preserve"> </w:t>
      </w:r>
      <w:r>
        <w:t>resuelva su aplicación</w:t>
      </w:r>
      <w:r w:rsidR="00D12CC2">
        <w:t>.</w:t>
      </w:r>
    </w:p>
    <w:p w14:paraId="378C9262" w14:textId="77777777" w:rsidR="00DA2BFB" w:rsidRDefault="00DA2BFB" w:rsidP="00153B70"/>
    <w:p w14:paraId="5663A201" w14:textId="56B53028" w:rsidR="006D61FC" w:rsidRPr="00C76C24" w:rsidRDefault="006D61FC" w:rsidP="006D61FC">
      <w:pPr>
        <w:spacing w:line="360" w:lineRule="auto"/>
        <w:contextualSpacing/>
        <w:jc w:val="both"/>
      </w:pPr>
      <w:r>
        <w:rPr>
          <w:rFonts w:cstheme="minorHAnsi"/>
          <w:snapToGrid w:val="0"/>
          <w:color w:val="auto"/>
          <w:szCs w:val="22"/>
          <w:lang w:val="es-CL"/>
        </w:rPr>
        <w:t>6</w:t>
      </w:r>
      <w:r w:rsidRPr="00C76C24">
        <w:t>.-La Municipalidad podrá poner término anticipado y administrativamente al servicio, en los siguientes casos:</w:t>
      </w:r>
    </w:p>
    <w:p w14:paraId="474AE4D8" w14:textId="77777777" w:rsidR="006D61FC" w:rsidRPr="00262660" w:rsidRDefault="006D61FC" w:rsidP="006D61FC">
      <w:pPr>
        <w:spacing w:line="360" w:lineRule="auto"/>
        <w:contextualSpacing/>
        <w:jc w:val="both"/>
        <w:rPr>
          <w:rFonts w:cstheme="minorHAnsi"/>
          <w:snapToGrid w:val="0"/>
          <w:color w:val="auto"/>
          <w:szCs w:val="22"/>
          <w:lang w:val="es-CL"/>
        </w:rPr>
      </w:pPr>
    </w:p>
    <w:p w14:paraId="1F39FC33" w14:textId="77777777" w:rsidR="006D61FC" w:rsidRPr="00C76C24" w:rsidRDefault="006D61FC" w:rsidP="006D61FC">
      <w:pPr>
        <w:spacing w:line="360" w:lineRule="auto"/>
        <w:ind w:left="425" w:hanging="425"/>
        <w:jc w:val="both"/>
      </w:pPr>
      <w:r w:rsidRPr="00C76C24">
        <w:t xml:space="preserve">a) </w:t>
      </w:r>
      <w:r w:rsidRPr="00C76C24">
        <w:tab/>
        <w:t>Resciliación o mutuo acuerdo entre los contratantes.</w:t>
      </w:r>
    </w:p>
    <w:p w14:paraId="0E8D002E" w14:textId="7BFF609C" w:rsidR="006D61FC" w:rsidRPr="00C76C24" w:rsidRDefault="006D61FC" w:rsidP="006D61FC">
      <w:pPr>
        <w:spacing w:line="360" w:lineRule="auto"/>
        <w:ind w:left="425" w:hanging="425"/>
        <w:jc w:val="both"/>
      </w:pPr>
      <w:r w:rsidRPr="00C76C24">
        <w:t>b)</w:t>
      </w:r>
      <w:r w:rsidRPr="00C76C24">
        <w:tab/>
        <w:t>Si las multas exceden del 15% del valor de la orden de compra y sus ampliaciones, si las hubiere.</w:t>
      </w:r>
    </w:p>
    <w:p w14:paraId="524C9B68" w14:textId="77777777" w:rsidR="006D61FC" w:rsidRPr="00C76C24" w:rsidRDefault="006D61FC" w:rsidP="006D61FC">
      <w:pPr>
        <w:spacing w:line="360" w:lineRule="auto"/>
        <w:ind w:left="425" w:hanging="425"/>
        <w:jc w:val="both"/>
      </w:pPr>
      <w:r w:rsidRPr="00C76C24">
        <w:t>c)</w:t>
      </w:r>
      <w:r w:rsidRPr="00C76C24">
        <w:tab/>
        <w:t>Por incumplimiento grave del contratista, que amerite, a juicio de la Unidad Técnica, poner término anticipado al servicio.</w:t>
      </w:r>
    </w:p>
    <w:p w14:paraId="5FF2D58C" w14:textId="77777777" w:rsidR="006D61FC" w:rsidRPr="00C76C24" w:rsidRDefault="006D61FC" w:rsidP="006D61FC">
      <w:pPr>
        <w:spacing w:line="360" w:lineRule="auto"/>
        <w:ind w:left="425" w:hanging="425"/>
        <w:jc w:val="both"/>
      </w:pPr>
      <w:r w:rsidRPr="00C76C24">
        <w:t xml:space="preserve">d) </w:t>
      </w:r>
      <w:r w:rsidRPr="00C76C24">
        <w:tab/>
        <w:t>Por exigirlo el interés público o la seguridad nacional.</w:t>
      </w:r>
    </w:p>
    <w:p w14:paraId="5D1C0AC1" w14:textId="4B9894FA" w:rsidR="006D61FC" w:rsidRPr="00C76C24" w:rsidRDefault="006D61FC" w:rsidP="00DB2AD9">
      <w:pPr>
        <w:spacing w:line="360" w:lineRule="auto"/>
        <w:ind w:left="425" w:hanging="425"/>
        <w:jc w:val="both"/>
      </w:pPr>
      <w:r w:rsidRPr="00C76C24">
        <w:t>e)</w:t>
      </w:r>
      <w:r w:rsidRPr="00C76C24">
        <w:tab/>
        <w:t>En caso de muerte del proveedor o en caso de término de la sociedad. Sin perjuicio de lo anterior, la Municipalidad, previo informe favorable de la unidad técnica respectiva, podrá convenir con la sucesión del proveedor la continuación de las actividades, mediante la suscripción de la modificación del servicio, respetándose las condiciones y los valores del servicio primitivo.</w:t>
      </w:r>
    </w:p>
    <w:p w14:paraId="62ECCB94" w14:textId="77777777" w:rsidR="00DB2AD9" w:rsidRPr="00262660" w:rsidRDefault="00DB2AD9" w:rsidP="00DB2AD9">
      <w:pPr>
        <w:spacing w:line="360" w:lineRule="auto"/>
        <w:ind w:left="425" w:hanging="425"/>
        <w:jc w:val="both"/>
        <w:rPr>
          <w:rFonts w:cstheme="minorHAnsi"/>
          <w:snapToGrid w:val="0"/>
          <w:color w:val="auto"/>
          <w:szCs w:val="22"/>
          <w:lang w:val="es-CL"/>
        </w:rPr>
      </w:pPr>
    </w:p>
    <w:p w14:paraId="13A94180" w14:textId="000103B1" w:rsidR="00DB0722" w:rsidRDefault="00DB2AD9" w:rsidP="00461B15">
      <w:pPr>
        <w:spacing w:line="360" w:lineRule="auto"/>
        <w:ind w:left="425" w:hanging="425"/>
        <w:jc w:val="both"/>
        <w:rPr>
          <w:rFonts w:cstheme="minorHAnsi"/>
          <w:snapToGrid w:val="0"/>
          <w:color w:val="auto"/>
          <w:szCs w:val="22"/>
          <w:lang w:val="es-CL"/>
        </w:rPr>
      </w:pPr>
      <w:r w:rsidRPr="00ED575D">
        <w:t>7</w:t>
      </w:r>
      <w:r w:rsidR="006D61FC" w:rsidRPr="00ED575D">
        <w:rPr>
          <w:rFonts w:cstheme="minorHAnsi"/>
          <w:bCs/>
          <w:snapToGrid w:val="0"/>
          <w:color w:val="auto"/>
          <w:szCs w:val="22"/>
          <w:lang w:val="es-CL"/>
        </w:rPr>
        <w:t>.-</w:t>
      </w:r>
      <w:r w:rsidR="006D61FC" w:rsidRPr="00CA0D2F">
        <w:rPr>
          <w:rFonts w:cstheme="minorHAnsi"/>
          <w:b/>
          <w:snapToGrid w:val="0"/>
          <w:color w:val="auto"/>
          <w:szCs w:val="22"/>
          <w:lang w:val="es-CL"/>
        </w:rPr>
        <w:t xml:space="preserve"> </w:t>
      </w:r>
      <w:r w:rsidR="00ED575D">
        <w:rPr>
          <w:rFonts w:cstheme="minorHAnsi"/>
          <w:snapToGrid w:val="0"/>
          <w:color w:val="auto"/>
          <w:szCs w:val="22"/>
          <w:lang w:val="es-CL"/>
        </w:rPr>
        <w:t>P</w:t>
      </w:r>
      <w:r w:rsidR="00ED575D" w:rsidRPr="00DB2AD9">
        <w:rPr>
          <w:rFonts w:cstheme="minorHAnsi"/>
          <w:snapToGrid w:val="0"/>
          <w:color w:val="auto"/>
          <w:szCs w:val="22"/>
          <w:lang w:val="es-CL"/>
        </w:rPr>
        <w:t>rocedimiento por término anticipado</w:t>
      </w:r>
    </w:p>
    <w:p w14:paraId="45450079" w14:textId="77777777" w:rsidR="00461B15" w:rsidRPr="00461B15" w:rsidRDefault="00461B15" w:rsidP="00461B15">
      <w:pPr>
        <w:spacing w:line="360" w:lineRule="auto"/>
        <w:ind w:left="425" w:hanging="425"/>
        <w:jc w:val="both"/>
        <w:rPr>
          <w:rFonts w:cstheme="minorHAnsi"/>
          <w:snapToGrid w:val="0"/>
          <w:color w:val="auto"/>
          <w:szCs w:val="22"/>
          <w:lang w:val="es-CL"/>
        </w:rPr>
      </w:pPr>
    </w:p>
    <w:p w14:paraId="71D347DB" w14:textId="63C066B6" w:rsidR="006D61FC" w:rsidRPr="00C76C24" w:rsidRDefault="006D61FC" w:rsidP="006D61FC">
      <w:pPr>
        <w:spacing w:line="360" w:lineRule="auto"/>
        <w:jc w:val="both"/>
      </w:pPr>
      <w:r w:rsidRPr="00C76C24">
        <w:t xml:space="preserve">Una vez verificadas las circunstancias descritas en las </w:t>
      </w:r>
      <w:r w:rsidR="007F3D66">
        <w:t xml:space="preserve">en el numeral anterior </w:t>
      </w:r>
      <w:r w:rsidRPr="00C76C24">
        <w:t>(consideradas conjunta o indistintamente) del numeral anterior, se dictará un acto administrativo fundado que sancione el término anticipado de la orden de compra, este Decreto Alcaldicio será puesto en conocimiento del proveedor mediante correo electrónico a la persona natural que representaré a la empresa o a la persona natural que se represente a sí misma</w:t>
      </w:r>
      <w:r w:rsidR="00A60B89" w:rsidRPr="00C76C24">
        <w:t>.</w:t>
      </w:r>
    </w:p>
    <w:p w14:paraId="5178A048" w14:textId="77777777" w:rsidR="006D61FC" w:rsidRPr="00C76C24" w:rsidRDefault="006D61FC" w:rsidP="006D61FC">
      <w:pPr>
        <w:spacing w:line="360" w:lineRule="auto"/>
        <w:jc w:val="both"/>
      </w:pPr>
    </w:p>
    <w:p w14:paraId="1BA9D096" w14:textId="77777777" w:rsidR="006D61FC" w:rsidRPr="00C76C24" w:rsidRDefault="006D61FC" w:rsidP="00C76C24">
      <w:pPr>
        <w:spacing w:line="360" w:lineRule="auto"/>
        <w:jc w:val="both"/>
      </w:pPr>
      <w:r w:rsidRPr="00C76C24">
        <w:t xml:space="preserve">Realizadas las formalidades precedentemente descritas, el proveedor podrá efectuar sus descargos dentro del plazo de 5 días hábiles contados desde la notificación del Decreto Alcaldicio que sanciona el término anticipado de la orden de compra, acompañando todos los antecedentes que lo fundamenten. </w:t>
      </w:r>
    </w:p>
    <w:p w14:paraId="5CB3C995" w14:textId="77777777" w:rsidR="006D61FC" w:rsidRPr="00C76C24" w:rsidRDefault="006D61FC" w:rsidP="00C76C24">
      <w:pPr>
        <w:spacing w:line="360" w:lineRule="auto"/>
        <w:jc w:val="both"/>
      </w:pPr>
    </w:p>
    <w:p w14:paraId="784930B8" w14:textId="1D33C990" w:rsidR="006D61FC" w:rsidRPr="00C76C24" w:rsidRDefault="006D61FC" w:rsidP="00C76C24">
      <w:pPr>
        <w:spacing w:line="360" w:lineRule="auto"/>
        <w:jc w:val="both"/>
      </w:pPr>
      <w:r w:rsidRPr="00C76C24">
        <w:t xml:space="preserve">Posteriormente, el señor </w:t>
      </w:r>
      <w:proofErr w:type="gramStart"/>
      <w:r w:rsidRPr="00C76C24">
        <w:t>Alcalde</w:t>
      </w:r>
      <w:proofErr w:type="gramEnd"/>
      <w:r w:rsidR="00636791">
        <w:t xml:space="preserve">, </w:t>
      </w:r>
      <w:r w:rsidR="00636791" w:rsidRPr="00636791">
        <w:t>o quien tenga delegada dicha atribución</w:t>
      </w:r>
      <w:r w:rsidR="00636791">
        <w:t>,</w:t>
      </w:r>
      <w:r w:rsidRPr="00C76C24">
        <w:t xml:space="preserve"> tendrá un plazo de 10 días hábiles (no fatales) para pronunciarse si acoge o rechaza, total o parcialmente las alegaciones del contratista mediante decreto fundado, el que deberá ser notificado personalmente o por carta certificada, debiendo también publicarse en el sistema de información.  </w:t>
      </w:r>
    </w:p>
    <w:p w14:paraId="2ADEE9A6" w14:textId="77777777" w:rsidR="006D61FC" w:rsidRPr="00C76C24" w:rsidRDefault="006D61FC" w:rsidP="00C76C24">
      <w:pPr>
        <w:spacing w:line="360" w:lineRule="auto"/>
        <w:jc w:val="both"/>
      </w:pPr>
    </w:p>
    <w:p w14:paraId="44B640DF" w14:textId="77777777" w:rsidR="006D61FC" w:rsidRPr="00C76C24" w:rsidRDefault="006D61FC" w:rsidP="00C76C24">
      <w:pPr>
        <w:spacing w:line="360" w:lineRule="auto"/>
        <w:jc w:val="both"/>
      </w:pPr>
      <w:r w:rsidRPr="00C76C24">
        <w:t xml:space="preserve">El contratista tendrá un plazo de 5 días hábiles, contados desde la notificación del decreto que resuelve el traslado, para impugnarlo, procediendo los recursos legales y especialmente los </w:t>
      </w:r>
      <w:r w:rsidRPr="00C76C24">
        <w:lastRenderedPageBreak/>
        <w:t xml:space="preserve">dispuestos en la Ley N°19.880 sobre Bases de los Procedimientos Administrativos, que rigen los actos de la Administración del Estado, debiendo acompañar los antecedentes que justifiquen eliminar, modificar o reemplazar la respectiva medida. </w:t>
      </w:r>
    </w:p>
    <w:p w14:paraId="1EE3945D" w14:textId="77777777" w:rsidR="006D61FC" w:rsidRPr="00C76C24" w:rsidRDefault="006D61FC" w:rsidP="00C76C24">
      <w:pPr>
        <w:spacing w:line="360" w:lineRule="auto"/>
        <w:jc w:val="both"/>
      </w:pPr>
    </w:p>
    <w:p w14:paraId="1BBF7619" w14:textId="77777777" w:rsidR="006D61FC" w:rsidRPr="00C76C24" w:rsidRDefault="006D61FC" w:rsidP="00C76C24">
      <w:pPr>
        <w:shd w:val="clear" w:color="auto" w:fill="FFFFFF"/>
        <w:spacing w:line="360" w:lineRule="auto"/>
        <w:jc w:val="both"/>
      </w:pPr>
      <w:r w:rsidRPr="00C76C24">
        <w:t>La Municipalidad tendrá un plazo no superior a 30 días hábiles administrativos para resolver el citado recurso. La resolución que acoja el recurso podrá modificar, reemplazar o dejar sin efecto el acto impugnado. En este caso, se efectuará la liquidación de la contratación.</w:t>
      </w:r>
    </w:p>
    <w:p w14:paraId="1B226D68" w14:textId="77777777" w:rsidR="006D61FC" w:rsidRPr="00C76C24" w:rsidRDefault="006D61FC" w:rsidP="00C76C24">
      <w:pPr>
        <w:shd w:val="clear" w:color="auto" w:fill="FFFFFF"/>
        <w:spacing w:line="360" w:lineRule="auto"/>
        <w:jc w:val="both"/>
      </w:pPr>
    </w:p>
    <w:p w14:paraId="12CBFDD5" w14:textId="77777777" w:rsidR="006D61FC" w:rsidRPr="00C76C24" w:rsidRDefault="006D61FC" w:rsidP="00C76C24">
      <w:pPr>
        <w:shd w:val="clear" w:color="auto" w:fill="FFFFFF"/>
        <w:spacing w:line="360" w:lineRule="auto"/>
        <w:jc w:val="both"/>
      </w:pPr>
      <w:r w:rsidRPr="00C76C24">
        <w:t>Las notificaciones que deben efectuarse con motivo de las circunstancias descritas en los párrafos segundo, tercero, cuarto y quinto, de este numeral, corresponderán a la unidad municipal que debe resolver el conflicto.</w:t>
      </w:r>
    </w:p>
    <w:p w14:paraId="36D5A00F" w14:textId="77777777" w:rsidR="006D61FC" w:rsidRPr="00C76C24" w:rsidRDefault="006D61FC" w:rsidP="00C76C24">
      <w:pPr>
        <w:shd w:val="clear" w:color="auto" w:fill="FFFFFF"/>
        <w:spacing w:line="360" w:lineRule="auto"/>
        <w:jc w:val="both"/>
      </w:pPr>
    </w:p>
    <w:p w14:paraId="3C6A2475" w14:textId="77777777" w:rsidR="006D61FC" w:rsidRPr="00C76C24" w:rsidRDefault="006D61FC" w:rsidP="00C76C24">
      <w:pPr>
        <w:spacing w:line="360" w:lineRule="auto"/>
        <w:jc w:val="both"/>
      </w:pPr>
      <w:r w:rsidRPr="00C76C24">
        <w:t>Todos los gastos que origine la terminación anticipada y administrativa serán de cargo del contratista, cuando éste sea el responsable de la terminación anticipada del mismo.</w:t>
      </w:r>
    </w:p>
    <w:p w14:paraId="4F058182" w14:textId="77777777" w:rsidR="006D61FC" w:rsidRPr="00C76C24" w:rsidRDefault="006D61FC" w:rsidP="006D61FC">
      <w:pPr>
        <w:spacing w:line="360" w:lineRule="auto"/>
        <w:jc w:val="both"/>
      </w:pPr>
    </w:p>
    <w:p w14:paraId="39E30C82" w14:textId="7708186B" w:rsidR="006D61FC" w:rsidRPr="00153B70" w:rsidRDefault="006D61FC" w:rsidP="00C76C24">
      <w:pPr>
        <w:jc w:val="both"/>
      </w:pPr>
      <w:r w:rsidRPr="00C76C24">
        <w:t xml:space="preserve">El Decreto Alcaldicio que dispongan la terminación anticipada de la orden de compra o su modificación, deberán ser fundadas y deberán publicarse en el portal web de Mercado Público salvo que concurra alguna de las situaciones señaladas en el artículo </w:t>
      </w:r>
      <w:r w:rsidR="002B1D79">
        <w:t>115</w:t>
      </w:r>
      <w:r w:rsidRPr="00C76C24">
        <w:t xml:space="preserve"> del Reglamento de la Ley 19.886</w:t>
      </w:r>
      <w:r w:rsidR="00375A84">
        <w:t>.</w:t>
      </w:r>
    </w:p>
    <w:sectPr w:rsidR="006D61FC" w:rsidRPr="00153B70" w:rsidSect="004B2BE8">
      <w:headerReference w:type="even" r:id="rId8"/>
      <w:headerReference w:type="default" r:id="rId9"/>
      <w:footerReference w:type="default" r:id="rId10"/>
      <w:headerReference w:type="first" r:id="rId11"/>
      <w:pgSz w:w="12240" w:h="18720" w:code="281"/>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B5B81" w14:textId="77777777" w:rsidR="00D47CFC" w:rsidRDefault="00D47CFC" w:rsidP="0011789A">
      <w:r>
        <w:separator/>
      </w:r>
    </w:p>
  </w:endnote>
  <w:endnote w:type="continuationSeparator" w:id="0">
    <w:p w14:paraId="0AFE57B0" w14:textId="77777777" w:rsidR="00D47CFC" w:rsidRDefault="00D47CFC" w:rsidP="001178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5034E" w14:textId="2F27A37E" w:rsidR="00483E0E" w:rsidRDefault="00483E0E">
    <w:pPr>
      <w:pStyle w:val="Piedepgina"/>
    </w:pPr>
    <w:r>
      <w:rPr>
        <w:noProof/>
        <w:lang w:val="es-CL" w:eastAsia="es-CL"/>
      </w:rPr>
      <w:drawing>
        <wp:anchor distT="0" distB="0" distL="114300" distR="114300" simplePos="0" relativeHeight="251665408" behindDoc="0" locked="0" layoutInCell="1" allowOverlap="1" wp14:anchorId="1EB7DEC2" wp14:editId="5BFF627D">
          <wp:simplePos x="0" y="0"/>
          <wp:positionH relativeFrom="column">
            <wp:posOffset>2219325</wp:posOffset>
          </wp:positionH>
          <wp:positionV relativeFrom="paragraph">
            <wp:posOffset>99695</wp:posOffset>
          </wp:positionV>
          <wp:extent cx="4457700" cy="290195"/>
          <wp:effectExtent l="0" t="0" r="0" b="1905"/>
          <wp:wrapThrough wrapText="bothSides">
            <wp:wrapPolygon edited="0">
              <wp:start x="0" y="0"/>
              <wp:lineTo x="0" y="20796"/>
              <wp:lineTo x="21538" y="20796"/>
              <wp:lineTo x="21538" y="0"/>
              <wp:lineTo x="0" y="0"/>
            </wp:wrapPolygon>
          </wp:wrapThrough>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
                    <a:extLst>
                      <a:ext uri="{28A0092B-C50C-407E-A947-70E740481C1C}">
                        <a14:useLocalDpi xmlns:a14="http://schemas.microsoft.com/office/drawing/2010/main" val="0"/>
                      </a:ext>
                    </a:extLst>
                  </a:blip>
                  <a:stretch>
                    <a:fillRect/>
                  </a:stretch>
                </pic:blipFill>
                <pic:spPr>
                  <a:xfrm>
                    <a:off x="0" y="0"/>
                    <a:ext cx="4457700" cy="29019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DC127" w14:textId="77777777" w:rsidR="00D47CFC" w:rsidRDefault="00D47CFC" w:rsidP="0011789A">
      <w:r>
        <w:separator/>
      </w:r>
    </w:p>
  </w:footnote>
  <w:footnote w:type="continuationSeparator" w:id="0">
    <w:p w14:paraId="47524E4B" w14:textId="77777777" w:rsidR="00D47CFC" w:rsidRDefault="00D47CFC" w:rsidP="001178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46154" w14:textId="29CA9285" w:rsidR="0011789A" w:rsidRDefault="00D47CFC">
    <w:pPr>
      <w:pStyle w:val="Encabezado"/>
    </w:pPr>
    <w:r>
      <w:rPr>
        <w:noProof/>
      </w:rPr>
      <w:pict w14:anchorId="5B63AF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540648" o:spid="_x0000_s1026" type="#_x0000_t75" alt="" style="position:absolute;margin-left:0;margin-top:0;width:599.7pt;height:774.55pt;z-index:-251653120;mso-wrap-edited:f;mso-width-percent:0;mso-height-percent:0;mso-position-horizontal:center;mso-position-horizontal-relative:margin;mso-position-vertical:center;mso-position-vertical-relative:margin;mso-width-percent:0;mso-height-percent:0" o:allowincell="f">
          <v:imagedata r:id="rId1" o:title="Hoja Carta_Mesa de trabajo 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C424B" w14:textId="42CEDE79" w:rsidR="0011789A" w:rsidRDefault="00483E0E">
    <w:pPr>
      <w:pStyle w:val="Encabezado"/>
    </w:pPr>
    <w:r>
      <w:rPr>
        <w:noProof/>
        <w:lang w:val="es-CL" w:eastAsia="es-CL"/>
      </w:rPr>
      <w:drawing>
        <wp:anchor distT="0" distB="0" distL="114300" distR="114300" simplePos="0" relativeHeight="251664384" behindDoc="0" locked="0" layoutInCell="1" allowOverlap="1" wp14:anchorId="0C86FF61" wp14:editId="4C833F08">
          <wp:simplePos x="0" y="0"/>
          <wp:positionH relativeFrom="column">
            <wp:posOffset>-1095375</wp:posOffset>
          </wp:positionH>
          <wp:positionV relativeFrom="paragraph">
            <wp:posOffset>-251291</wp:posOffset>
          </wp:positionV>
          <wp:extent cx="7769225" cy="825162"/>
          <wp:effectExtent l="0" t="0" r="3175" b="635"/>
          <wp:wrapThrough wrapText="bothSides">
            <wp:wrapPolygon edited="0">
              <wp:start x="0" y="0"/>
              <wp:lineTo x="0" y="21284"/>
              <wp:lineTo x="21574" y="21284"/>
              <wp:lineTo x="21574" y="0"/>
              <wp:lineTo x="0" y="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extLst>
                      <a:ext uri="{28A0092B-C50C-407E-A947-70E740481C1C}">
                        <a14:useLocalDpi xmlns:a14="http://schemas.microsoft.com/office/drawing/2010/main" val="0"/>
                      </a:ext>
                    </a:extLst>
                  </a:blip>
                  <a:stretch>
                    <a:fillRect/>
                  </a:stretch>
                </pic:blipFill>
                <pic:spPr>
                  <a:xfrm>
                    <a:off x="0" y="0"/>
                    <a:ext cx="7769225" cy="825162"/>
                  </a:xfrm>
                  <a:prstGeom prst="rect">
                    <a:avLst/>
                  </a:prstGeom>
                </pic:spPr>
              </pic:pic>
            </a:graphicData>
          </a:graphic>
          <wp14:sizeRelH relativeFrom="page">
            <wp14:pctWidth>0</wp14:pctWidth>
          </wp14:sizeRelH>
          <wp14:sizeRelV relativeFrom="page">
            <wp14:pctHeight>0</wp14:pctHeight>
          </wp14:sizeRelV>
        </wp:anchor>
      </w:drawing>
    </w:r>
    <w:r w:rsidR="006F7508">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F143F" w14:textId="535598EE" w:rsidR="0011789A" w:rsidRDefault="00D47CFC">
    <w:pPr>
      <w:pStyle w:val="Encabezado"/>
    </w:pPr>
    <w:r>
      <w:rPr>
        <w:noProof/>
      </w:rPr>
      <w:pict w14:anchorId="15D8CE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540647" o:spid="_x0000_s1025" type="#_x0000_t75" alt="" style="position:absolute;margin-left:0;margin-top:0;width:599.7pt;height:774.55pt;z-index:-251656192;mso-wrap-edited:f;mso-width-percent:0;mso-height-percent:0;mso-position-horizontal:center;mso-position-horizontal-relative:margin;mso-position-vertical:center;mso-position-vertical-relative:margin;mso-width-percent:0;mso-height-percent:0" o:allowincell="f">
          <v:imagedata r:id="rId1" o:title="Hoja Carta_Mesa de trabajo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7F056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C06930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A2A994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AA6709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23E0FC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82C670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29E26E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094106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69ED6C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424E92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FF126BE"/>
    <w:multiLevelType w:val="hybridMultilevel"/>
    <w:tmpl w:val="5192A848"/>
    <w:lvl w:ilvl="0" w:tplc="AF1AF21A">
      <w:numFmt w:val="bullet"/>
      <w:lvlText w:val="-"/>
      <w:lvlJc w:val="left"/>
      <w:pPr>
        <w:ind w:left="2203" w:hanging="360"/>
      </w:pPr>
      <w:rPr>
        <w:rFonts w:ascii="Lucida Sans Unicode" w:eastAsia="Times New Roman" w:hAnsi="Lucida Sans Unicode" w:cs="Lucida Sans Unicode" w:hint="default"/>
      </w:rPr>
    </w:lvl>
    <w:lvl w:ilvl="1" w:tplc="340A0003" w:tentative="1">
      <w:start w:val="1"/>
      <w:numFmt w:val="bullet"/>
      <w:lvlText w:val="o"/>
      <w:lvlJc w:val="left"/>
      <w:pPr>
        <w:ind w:left="2923" w:hanging="360"/>
      </w:pPr>
      <w:rPr>
        <w:rFonts w:ascii="Courier New" w:hAnsi="Courier New" w:cs="Courier New" w:hint="default"/>
      </w:rPr>
    </w:lvl>
    <w:lvl w:ilvl="2" w:tplc="340A0005" w:tentative="1">
      <w:start w:val="1"/>
      <w:numFmt w:val="bullet"/>
      <w:lvlText w:val=""/>
      <w:lvlJc w:val="left"/>
      <w:pPr>
        <w:ind w:left="3643" w:hanging="360"/>
      </w:pPr>
      <w:rPr>
        <w:rFonts w:ascii="Wingdings" w:hAnsi="Wingdings" w:hint="default"/>
      </w:rPr>
    </w:lvl>
    <w:lvl w:ilvl="3" w:tplc="340A0001" w:tentative="1">
      <w:start w:val="1"/>
      <w:numFmt w:val="bullet"/>
      <w:lvlText w:val=""/>
      <w:lvlJc w:val="left"/>
      <w:pPr>
        <w:ind w:left="4363" w:hanging="360"/>
      </w:pPr>
      <w:rPr>
        <w:rFonts w:ascii="Symbol" w:hAnsi="Symbol" w:hint="default"/>
      </w:rPr>
    </w:lvl>
    <w:lvl w:ilvl="4" w:tplc="340A0003" w:tentative="1">
      <w:start w:val="1"/>
      <w:numFmt w:val="bullet"/>
      <w:lvlText w:val="o"/>
      <w:lvlJc w:val="left"/>
      <w:pPr>
        <w:ind w:left="5083" w:hanging="360"/>
      </w:pPr>
      <w:rPr>
        <w:rFonts w:ascii="Courier New" w:hAnsi="Courier New" w:cs="Courier New" w:hint="default"/>
      </w:rPr>
    </w:lvl>
    <w:lvl w:ilvl="5" w:tplc="340A0005" w:tentative="1">
      <w:start w:val="1"/>
      <w:numFmt w:val="bullet"/>
      <w:lvlText w:val=""/>
      <w:lvlJc w:val="left"/>
      <w:pPr>
        <w:ind w:left="5803" w:hanging="360"/>
      </w:pPr>
      <w:rPr>
        <w:rFonts w:ascii="Wingdings" w:hAnsi="Wingdings" w:hint="default"/>
      </w:rPr>
    </w:lvl>
    <w:lvl w:ilvl="6" w:tplc="340A0001" w:tentative="1">
      <w:start w:val="1"/>
      <w:numFmt w:val="bullet"/>
      <w:lvlText w:val=""/>
      <w:lvlJc w:val="left"/>
      <w:pPr>
        <w:ind w:left="6523" w:hanging="360"/>
      </w:pPr>
      <w:rPr>
        <w:rFonts w:ascii="Symbol" w:hAnsi="Symbol" w:hint="default"/>
      </w:rPr>
    </w:lvl>
    <w:lvl w:ilvl="7" w:tplc="340A0003" w:tentative="1">
      <w:start w:val="1"/>
      <w:numFmt w:val="bullet"/>
      <w:lvlText w:val="o"/>
      <w:lvlJc w:val="left"/>
      <w:pPr>
        <w:ind w:left="7243" w:hanging="360"/>
      </w:pPr>
      <w:rPr>
        <w:rFonts w:ascii="Courier New" w:hAnsi="Courier New" w:cs="Courier New" w:hint="default"/>
      </w:rPr>
    </w:lvl>
    <w:lvl w:ilvl="8" w:tplc="340A0005" w:tentative="1">
      <w:start w:val="1"/>
      <w:numFmt w:val="bullet"/>
      <w:lvlText w:val=""/>
      <w:lvlJc w:val="left"/>
      <w:pPr>
        <w:ind w:left="7963" w:hanging="360"/>
      </w:pPr>
      <w:rPr>
        <w:rFonts w:ascii="Wingdings" w:hAnsi="Wingdings" w:hint="default"/>
      </w:rPr>
    </w:lvl>
  </w:abstractNum>
  <w:abstractNum w:abstractNumId="11" w15:restartNumberingAfterBreak="0">
    <w:nsid w:val="5C5B51FF"/>
    <w:multiLevelType w:val="hybridMultilevel"/>
    <w:tmpl w:val="C42ED59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7D091BB4"/>
    <w:multiLevelType w:val="hybridMultilevel"/>
    <w:tmpl w:val="031CB7E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974292615">
    <w:abstractNumId w:val="4"/>
  </w:num>
  <w:num w:numId="2" w16cid:durableId="8606201">
    <w:abstractNumId w:val="5"/>
  </w:num>
  <w:num w:numId="3" w16cid:durableId="499778961">
    <w:abstractNumId w:val="6"/>
  </w:num>
  <w:num w:numId="4" w16cid:durableId="453717596">
    <w:abstractNumId w:val="7"/>
  </w:num>
  <w:num w:numId="5" w16cid:durableId="1356728762">
    <w:abstractNumId w:val="9"/>
  </w:num>
  <w:num w:numId="6" w16cid:durableId="726150913">
    <w:abstractNumId w:val="0"/>
  </w:num>
  <w:num w:numId="7" w16cid:durableId="488064115">
    <w:abstractNumId w:val="1"/>
  </w:num>
  <w:num w:numId="8" w16cid:durableId="1386876987">
    <w:abstractNumId w:val="2"/>
  </w:num>
  <w:num w:numId="9" w16cid:durableId="2021621652">
    <w:abstractNumId w:val="3"/>
  </w:num>
  <w:num w:numId="10" w16cid:durableId="1170176023">
    <w:abstractNumId w:val="8"/>
  </w:num>
  <w:num w:numId="11" w16cid:durableId="575676029">
    <w:abstractNumId w:val="12"/>
  </w:num>
  <w:num w:numId="12" w16cid:durableId="2077320225">
    <w:abstractNumId w:val="10"/>
  </w:num>
  <w:num w:numId="13" w16cid:durableId="57889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789A"/>
    <w:rsid w:val="00010889"/>
    <w:rsid w:val="000132D0"/>
    <w:rsid w:val="00034996"/>
    <w:rsid w:val="00091697"/>
    <w:rsid w:val="000F05CE"/>
    <w:rsid w:val="0011789A"/>
    <w:rsid w:val="0015268E"/>
    <w:rsid w:val="00153B70"/>
    <w:rsid w:val="001B7318"/>
    <w:rsid w:val="001D053B"/>
    <w:rsid w:val="001D3E30"/>
    <w:rsid w:val="001F361A"/>
    <w:rsid w:val="00240540"/>
    <w:rsid w:val="002501BC"/>
    <w:rsid w:val="00263AEF"/>
    <w:rsid w:val="0026605A"/>
    <w:rsid w:val="00270AB4"/>
    <w:rsid w:val="00287ADC"/>
    <w:rsid w:val="002958A9"/>
    <w:rsid w:val="002A5259"/>
    <w:rsid w:val="002B1D79"/>
    <w:rsid w:val="002C1BAB"/>
    <w:rsid w:val="002D7CEC"/>
    <w:rsid w:val="002E0E10"/>
    <w:rsid w:val="00333922"/>
    <w:rsid w:val="003359F7"/>
    <w:rsid w:val="00347712"/>
    <w:rsid w:val="003600B0"/>
    <w:rsid w:val="00364949"/>
    <w:rsid w:val="00375A84"/>
    <w:rsid w:val="003C71D1"/>
    <w:rsid w:val="003D3A73"/>
    <w:rsid w:val="003D74F7"/>
    <w:rsid w:val="003E0CAB"/>
    <w:rsid w:val="003F3F3C"/>
    <w:rsid w:val="00405CE3"/>
    <w:rsid w:val="00417CFD"/>
    <w:rsid w:val="00441A1B"/>
    <w:rsid w:val="0045795A"/>
    <w:rsid w:val="00461B15"/>
    <w:rsid w:val="00465A6F"/>
    <w:rsid w:val="00483E0E"/>
    <w:rsid w:val="00497BD5"/>
    <w:rsid w:val="004A4F13"/>
    <w:rsid w:val="004A7F6D"/>
    <w:rsid w:val="004B0F36"/>
    <w:rsid w:val="004B2BE8"/>
    <w:rsid w:val="004B7B84"/>
    <w:rsid w:val="004C4AF5"/>
    <w:rsid w:val="004C6DBD"/>
    <w:rsid w:val="004D10B8"/>
    <w:rsid w:val="004D238C"/>
    <w:rsid w:val="00507747"/>
    <w:rsid w:val="005649A2"/>
    <w:rsid w:val="00584A7C"/>
    <w:rsid w:val="005F6B39"/>
    <w:rsid w:val="00606020"/>
    <w:rsid w:val="00636791"/>
    <w:rsid w:val="00673DE2"/>
    <w:rsid w:val="00677ED0"/>
    <w:rsid w:val="00680578"/>
    <w:rsid w:val="006B032C"/>
    <w:rsid w:val="006D61FC"/>
    <w:rsid w:val="006D6928"/>
    <w:rsid w:val="006F60A3"/>
    <w:rsid w:val="006F7508"/>
    <w:rsid w:val="0072501E"/>
    <w:rsid w:val="00742489"/>
    <w:rsid w:val="00772F90"/>
    <w:rsid w:val="007741E3"/>
    <w:rsid w:val="007C0D7B"/>
    <w:rsid w:val="007C434D"/>
    <w:rsid w:val="007C4724"/>
    <w:rsid w:val="007F3D66"/>
    <w:rsid w:val="007F6049"/>
    <w:rsid w:val="00800FC4"/>
    <w:rsid w:val="008044D6"/>
    <w:rsid w:val="00822EA0"/>
    <w:rsid w:val="00834661"/>
    <w:rsid w:val="008400CD"/>
    <w:rsid w:val="00870B2A"/>
    <w:rsid w:val="00881551"/>
    <w:rsid w:val="00882BCF"/>
    <w:rsid w:val="008B5E50"/>
    <w:rsid w:val="0095120A"/>
    <w:rsid w:val="0095704D"/>
    <w:rsid w:val="009A1ECF"/>
    <w:rsid w:val="009C1593"/>
    <w:rsid w:val="00A20F6A"/>
    <w:rsid w:val="00A33FF2"/>
    <w:rsid w:val="00A35D23"/>
    <w:rsid w:val="00A412B8"/>
    <w:rsid w:val="00A60B89"/>
    <w:rsid w:val="00A91053"/>
    <w:rsid w:val="00AA67EE"/>
    <w:rsid w:val="00AC5C41"/>
    <w:rsid w:val="00AD3F83"/>
    <w:rsid w:val="00B00B51"/>
    <w:rsid w:val="00B65928"/>
    <w:rsid w:val="00B73E85"/>
    <w:rsid w:val="00BD3BEB"/>
    <w:rsid w:val="00BD3E6D"/>
    <w:rsid w:val="00BE253D"/>
    <w:rsid w:val="00BE25E5"/>
    <w:rsid w:val="00BF0E34"/>
    <w:rsid w:val="00C0117F"/>
    <w:rsid w:val="00C2575F"/>
    <w:rsid w:val="00C30310"/>
    <w:rsid w:val="00C52163"/>
    <w:rsid w:val="00C76C24"/>
    <w:rsid w:val="00CB1880"/>
    <w:rsid w:val="00CC6D77"/>
    <w:rsid w:val="00CE06A2"/>
    <w:rsid w:val="00CE073E"/>
    <w:rsid w:val="00D12CC2"/>
    <w:rsid w:val="00D16EE3"/>
    <w:rsid w:val="00D22487"/>
    <w:rsid w:val="00D429A0"/>
    <w:rsid w:val="00D47CFC"/>
    <w:rsid w:val="00D52182"/>
    <w:rsid w:val="00D54CCD"/>
    <w:rsid w:val="00D63AE9"/>
    <w:rsid w:val="00D83D8E"/>
    <w:rsid w:val="00DA2BFB"/>
    <w:rsid w:val="00DA374D"/>
    <w:rsid w:val="00DB0722"/>
    <w:rsid w:val="00DB2AD9"/>
    <w:rsid w:val="00DB3863"/>
    <w:rsid w:val="00DC24CF"/>
    <w:rsid w:val="00DD1991"/>
    <w:rsid w:val="00DF256F"/>
    <w:rsid w:val="00E01CB8"/>
    <w:rsid w:val="00E12B5D"/>
    <w:rsid w:val="00E4039B"/>
    <w:rsid w:val="00E540CB"/>
    <w:rsid w:val="00E719F6"/>
    <w:rsid w:val="00EB6062"/>
    <w:rsid w:val="00EC26B7"/>
    <w:rsid w:val="00ED575D"/>
    <w:rsid w:val="00EE5DAB"/>
    <w:rsid w:val="00F11328"/>
    <w:rsid w:val="00F36E1B"/>
    <w:rsid w:val="00F448A6"/>
    <w:rsid w:val="00F75DE2"/>
    <w:rsid w:val="00F872E2"/>
    <w:rsid w:val="00FB1059"/>
    <w:rsid w:val="00FD704F"/>
    <w:rsid w:val="467EB4A2"/>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A4F915"/>
  <w15:chartTrackingRefBased/>
  <w15:docId w15:val="{8607E0A1-66BD-7642-A3AC-1E6780ACE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72F90"/>
    <w:rPr>
      <w:rFonts w:eastAsiaTheme="minorEastAsia"/>
      <w:color w:val="404040" w:themeColor="text1" w:themeTint="BF"/>
      <w:sz w:val="22"/>
      <w:lang w:val="es-ES"/>
    </w:rPr>
  </w:style>
  <w:style w:type="paragraph" w:styleId="Ttulo1">
    <w:name w:val="heading 1"/>
    <w:basedOn w:val="Normal"/>
    <w:next w:val="Normal"/>
    <w:link w:val="Ttulo1Car"/>
    <w:uiPriority w:val="9"/>
    <w:qFormat/>
    <w:rsid w:val="008B5E50"/>
    <w:pPr>
      <w:keepNext/>
      <w:keepLines/>
      <w:spacing w:before="240"/>
      <w:outlineLvl w:val="0"/>
    </w:pPr>
    <w:rPr>
      <w:rFonts w:eastAsiaTheme="majorEastAsia" w:cstheme="majorBidi"/>
      <w:b/>
      <w:color w:val="10174A"/>
      <w:sz w:val="32"/>
      <w:szCs w:val="32"/>
    </w:rPr>
  </w:style>
  <w:style w:type="paragraph" w:styleId="Ttulo2">
    <w:name w:val="heading 2"/>
    <w:basedOn w:val="Normal"/>
    <w:link w:val="Ttulo2Car"/>
    <w:uiPriority w:val="9"/>
    <w:rsid w:val="001F361A"/>
    <w:pPr>
      <w:spacing w:before="100" w:beforeAutospacing="1" w:after="100" w:afterAutospacing="1"/>
      <w:outlineLvl w:val="1"/>
    </w:pPr>
    <w:rPr>
      <w:rFonts w:ascii="Times New Roman" w:eastAsia="Times New Roman" w:hAnsi="Times New Roman" w:cs="Times New Roman"/>
      <w:b/>
      <w:bCs/>
      <w:sz w:val="36"/>
      <w:szCs w:val="36"/>
      <w:lang w:eastAsia="es-ES_tradnl"/>
    </w:rPr>
  </w:style>
  <w:style w:type="paragraph" w:styleId="Ttulo3">
    <w:name w:val="heading 3"/>
    <w:basedOn w:val="Normal"/>
    <w:next w:val="Normal"/>
    <w:link w:val="Ttulo3Car"/>
    <w:uiPriority w:val="9"/>
    <w:semiHidden/>
    <w:unhideWhenUsed/>
    <w:rsid w:val="00AD3F83"/>
    <w:pPr>
      <w:keepNext/>
      <w:keepLines/>
      <w:spacing w:before="4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ar"/>
    <w:uiPriority w:val="9"/>
    <w:semiHidden/>
    <w:unhideWhenUsed/>
    <w:qFormat/>
    <w:rsid w:val="00AD3F8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1789A"/>
    <w:pPr>
      <w:tabs>
        <w:tab w:val="center" w:pos="4419"/>
        <w:tab w:val="right" w:pos="8838"/>
      </w:tabs>
    </w:pPr>
  </w:style>
  <w:style w:type="character" w:customStyle="1" w:styleId="EncabezadoCar">
    <w:name w:val="Encabezado Car"/>
    <w:basedOn w:val="Fuentedeprrafopredeter"/>
    <w:link w:val="Encabezado"/>
    <w:uiPriority w:val="99"/>
    <w:rsid w:val="0011789A"/>
    <w:rPr>
      <w:rFonts w:eastAsiaTheme="minorEastAsia"/>
    </w:rPr>
  </w:style>
  <w:style w:type="paragraph" w:styleId="Piedepgina">
    <w:name w:val="footer"/>
    <w:basedOn w:val="Normal"/>
    <w:link w:val="PiedepginaCar"/>
    <w:uiPriority w:val="99"/>
    <w:unhideWhenUsed/>
    <w:rsid w:val="0011789A"/>
    <w:pPr>
      <w:tabs>
        <w:tab w:val="center" w:pos="4419"/>
        <w:tab w:val="right" w:pos="8838"/>
      </w:tabs>
    </w:pPr>
  </w:style>
  <w:style w:type="character" w:customStyle="1" w:styleId="PiedepginaCar">
    <w:name w:val="Pie de página Car"/>
    <w:basedOn w:val="Fuentedeprrafopredeter"/>
    <w:link w:val="Piedepgina"/>
    <w:uiPriority w:val="99"/>
    <w:rsid w:val="0011789A"/>
    <w:rPr>
      <w:rFonts w:eastAsiaTheme="minorEastAsia"/>
    </w:rPr>
  </w:style>
  <w:style w:type="character" w:customStyle="1" w:styleId="Ttulo2Car">
    <w:name w:val="Título 2 Car"/>
    <w:basedOn w:val="Fuentedeprrafopredeter"/>
    <w:link w:val="Ttulo2"/>
    <w:uiPriority w:val="9"/>
    <w:rsid w:val="001F361A"/>
    <w:rPr>
      <w:rFonts w:ascii="Times New Roman" w:eastAsia="Times New Roman" w:hAnsi="Times New Roman" w:cs="Times New Roman"/>
      <w:b/>
      <w:bCs/>
      <w:sz w:val="36"/>
      <w:szCs w:val="36"/>
      <w:lang w:eastAsia="es-ES_tradnl"/>
    </w:rPr>
  </w:style>
  <w:style w:type="paragraph" w:styleId="NormalWeb">
    <w:name w:val="Normal (Web)"/>
    <w:basedOn w:val="Normal"/>
    <w:uiPriority w:val="99"/>
    <w:semiHidden/>
    <w:unhideWhenUsed/>
    <w:rsid w:val="001F361A"/>
    <w:pPr>
      <w:spacing w:before="100" w:beforeAutospacing="1" w:after="100" w:afterAutospacing="1"/>
    </w:pPr>
    <w:rPr>
      <w:rFonts w:ascii="Times New Roman" w:eastAsia="Times New Roman" w:hAnsi="Times New Roman" w:cs="Times New Roman"/>
      <w:lang w:eastAsia="es-ES_tradnl"/>
    </w:rPr>
  </w:style>
  <w:style w:type="paragraph" w:customStyle="1" w:styleId="Subttulo1">
    <w:name w:val="Subtítulo 1"/>
    <w:basedOn w:val="Normal"/>
    <w:qFormat/>
    <w:rsid w:val="00DA2BFB"/>
    <w:rPr>
      <w:b/>
      <w:color w:val="10174A"/>
      <w:sz w:val="28"/>
    </w:rPr>
  </w:style>
  <w:style w:type="character" w:styleId="Fuerte">
    <w:name w:val="Strong"/>
    <w:basedOn w:val="Fuentedeprrafopredeter"/>
    <w:uiPriority w:val="22"/>
    <w:qFormat/>
    <w:rsid w:val="00DD1991"/>
    <w:rPr>
      <w:rFonts w:asciiTheme="minorHAnsi" w:hAnsiTheme="minorHAnsi"/>
      <w:b/>
      <w:bCs/>
      <w:color w:val="171717" w:themeColor="background2" w:themeShade="1A"/>
      <w:sz w:val="22"/>
    </w:rPr>
  </w:style>
  <w:style w:type="character" w:customStyle="1" w:styleId="Ttulo1Car">
    <w:name w:val="Título 1 Car"/>
    <w:basedOn w:val="Fuentedeprrafopredeter"/>
    <w:link w:val="Ttulo1"/>
    <w:uiPriority w:val="9"/>
    <w:rsid w:val="008B5E50"/>
    <w:rPr>
      <w:rFonts w:eastAsiaTheme="majorEastAsia" w:cstheme="majorBidi"/>
      <w:b/>
      <w:color w:val="10174A"/>
      <w:sz w:val="32"/>
      <w:szCs w:val="32"/>
    </w:rPr>
  </w:style>
  <w:style w:type="character" w:customStyle="1" w:styleId="Ttulo3Car">
    <w:name w:val="Título 3 Car"/>
    <w:basedOn w:val="Fuentedeprrafopredeter"/>
    <w:link w:val="Ttulo3"/>
    <w:uiPriority w:val="9"/>
    <w:semiHidden/>
    <w:rsid w:val="00AD3F83"/>
    <w:rPr>
      <w:rFonts w:asciiTheme="majorHAnsi" w:eastAsiaTheme="majorEastAsia" w:hAnsiTheme="majorHAnsi" w:cstheme="majorBidi"/>
      <w:color w:val="1F3763" w:themeColor="accent1" w:themeShade="7F"/>
    </w:rPr>
  </w:style>
  <w:style w:type="character" w:customStyle="1" w:styleId="Ttulo4Car">
    <w:name w:val="Título 4 Car"/>
    <w:basedOn w:val="Fuentedeprrafopredeter"/>
    <w:link w:val="Ttulo4"/>
    <w:uiPriority w:val="9"/>
    <w:semiHidden/>
    <w:rsid w:val="00AD3F83"/>
    <w:rPr>
      <w:rFonts w:asciiTheme="majorHAnsi" w:eastAsiaTheme="majorEastAsia" w:hAnsiTheme="majorHAnsi" w:cstheme="majorBidi"/>
      <w:i/>
      <w:iCs/>
      <w:color w:val="2F5496" w:themeColor="accent1" w:themeShade="BF"/>
    </w:rPr>
  </w:style>
  <w:style w:type="paragraph" w:styleId="Cita">
    <w:name w:val="Quote"/>
    <w:basedOn w:val="Normal"/>
    <w:next w:val="Normal"/>
    <w:link w:val="CitaCar"/>
    <w:uiPriority w:val="29"/>
    <w:qFormat/>
    <w:rsid w:val="008B5E50"/>
    <w:pPr>
      <w:spacing w:before="200" w:after="200" w:line="276" w:lineRule="auto"/>
      <w:ind w:left="864" w:right="864"/>
      <w:jc w:val="center"/>
    </w:pPr>
    <w:rPr>
      <w:rFonts w:eastAsiaTheme="minorHAnsi"/>
      <w:i/>
      <w:iCs/>
      <w:color w:val="002060"/>
      <w:szCs w:val="22"/>
    </w:rPr>
  </w:style>
  <w:style w:type="character" w:customStyle="1" w:styleId="CitaCar">
    <w:name w:val="Cita Car"/>
    <w:basedOn w:val="Fuentedeprrafopredeter"/>
    <w:link w:val="Cita"/>
    <w:uiPriority w:val="29"/>
    <w:rsid w:val="008B5E50"/>
    <w:rPr>
      <w:i/>
      <w:iCs/>
      <w:color w:val="002060"/>
      <w:sz w:val="22"/>
      <w:szCs w:val="22"/>
    </w:rPr>
  </w:style>
  <w:style w:type="character" w:styleId="nfasisintenso">
    <w:name w:val="Intense Emphasis"/>
    <w:aliases w:val="Cuerpo texto"/>
    <w:basedOn w:val="Fuentedeprrafopredeter"/>
    <w:uiPriority w:val="21"/>
    <w:qFormat/>
    <w:rsid w:val="00DD1991"/>
    <w:rPr>
      <w:rFonts w:asciiTheme="minorHAnsi" w:hAnsiTheme="minorHAnsi"/>
      <w:b w:val="0"/>
      <w:i w:val="0"/>
      <w:iCs/>
      <w:color w:val="171717" w:themeColor="background2" w:themeShade="1A"/>
    </w:rPr>
  </w:style>
  <w:style w:type="paragraph" w:customStyle="1" w:styleId="Subttulo3">
    <w:name w:val="Subtítulo 3"/>
    <w:basedOn w:val="Normal"/>
    <w:qFormat/>
    <w:rsid w:val="00AA67EE"/>
    <w:rPr>
      <w:b/>
      <w:color w:val="1ECECA"/>
      <w:sz w:val="28"/>
    </w:rPr>
  </w:style>
  <w:style w:type="paragraph" w:styleId="Citadestacada">
    <w:name w:val="Intense Quote"/>
    <w:basedOn w:val="Normal"/>
    <w:next w:val="Normal"/>
    <w:link w:val="CitadestacadaCar"/>
    <w:uiPriority w:val="30"/>
    <w:qFormat/>
    <w:rsid w:val="00AA67EE"/>
    <w:pPr>
      <w:pBdr>
        <w:top w:val="single" w:sz="4" w:space="10" w:color="E60280"/>
        <w:bottom w:val="single" w:sz="4" w:space="10" w:color="E60280"/>
      </w:pBdr>
      <w:spacing w:before="360" w:after="360"/>
      <w:ind w:left="864" w:right="864"/>
      <w:jc w:val="center"/>
    </w:pPr>
    <w:rPr>
      <w:i/>
      <w:iCs/>
      <w:color w:val="10174A"/>
    </w:rPr>
  </w:style>
  <w:style w:type="paragraph" w:styleId="Sinespaciado">
    <w:name w:val="No Spacing"/>
    <w:uiPriority w:val="1"/>
    <w:rsid w:val="00AD3F83"/>
    <w:rPr>
      <w:rFonts w:eastAsiaTheme="minorEastAsia"/>
    </w:rPr>
  </w:style>
  <w:style w:type="character" w:styleId="nfasissutil">
    <w:name w:val="Subtle Emphasis"/>
    <w:basedOn w:val="Fuentedeprrafopredeter"/>
    <w:uiPriority w:val="19"/>
    <w:rsid w:val="00AD3F83"/>
    <w:rPr>
      <w:i/>
      <w:iCs/>
      <w:color w:val="404040" w:themeColor="text1" w:themeTint="BF"/>
    </w:rPr>
  </w:style>
  <w:style w:type="paragraph" w:customStyle="1" w:styleId="Estilo1">
    <w:name w:val="Estilo1"/>
    <w:basedOn w:val="Normal"/>
    <w:rsid w:val="00772F90"/>
    <w:rPr>
      <w:lang w:val="en-US"/>
    </w:rPr>
  </w:style>
  <w:style w:type="paragraph" w:customStyle="1" w:styleId="Subttulo2">
    <w:name w:val="Subtítulo 2"/>
    <w:basedOn w:val="Normal"/>
    <w:qFormat/>
    <w:rsid w:val="00AA67EE"/>
    <w:rPr>
      <w:b/>
      <w:color w:val="E60280"/>
      <w:sz w:val="28"/>
      <w:lang w:val="en-US"/>
    </w:rPr>
  </w:style>
  <w:style w:type="character" w:customStyle="1" w:styleId="CitadestacadaCar">
    <w:name w:val="Cita destacada Car"/>
    <w:basedOn w:val="Fuentedeprrafopredeter"/>
    <w:link w:val="Citadestacada"/>
    <w:uiPriority w:val="30"/>
    <w:rsid w:val="00AA67EE"/>
    <w:rPr>
      <w:rFonts w:eastAsiaTheme="minorEastAsia"/>
      <w:i/>
      <w:iCs/>
      <w:color w:val="10174A"/>
      <w:sz w:val="22"/>
    </w:rPr>
  </w:style>
  <w:style w:type="paragraph" w:styleId="Prrafodelista">
    <w:name w:val="List Paragraph"/>
    <w:basedOn w:val="Normal"/>
    <w:uiPriority w:val="34"/>
    <w:qFormat/>
    <w:rsid w:val="007C434D"/>
    <w:pPr>
      <w:ind w:left="720"/>
      <w:contextualSpacing/>
    </w:pPr>
    <w:rPr>
      <w:rFonts w:ascii="Times New Roman" w:eastAsia="Times New Roman" w:hAnsi="Times New Roman" w:cs="Times New Roman"/>
      <w:color w:val="auto"/>
      <w:sz w:val="24"/>
      <w:lang w:eastAsia="es-ES" w:bidi="he-IL"/>
    </w:rPr>
  </w:style>
  <w:style w:type="character" w:styleId="Hipervnculo">
    <w:name w:val="Hyperlink"/>
    <w:basedOn w:val="Fuentedeprrafopredeter"/>
    <w:uiPriority w:val="99"/>
    <w:unhideWhenUsed/>
    <w:rsid w:val="007C434D"/>
    <w:rPr>
      <w:color w:val="0563C1" w:themeColor="hyperlink"/>
      <w:u w:val="single"/>
    </w:rPr>
  </w:style>
  <w:style w:type="paragraph" w:styleId="Textodeglobo">
    <w:name w:val="Balloon Text"/>
    <w:basedOn w:val="Normal"/>
    <w:link w:val="TextodegloboCar"/>
    <w:uiPriority w:val="99"/>
    <w:semiHidden/>
    <w:unhideWhenUsed/>
    <w:rsid w:val="002C1BAB"/>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1BAB"/>
    <w:rPr>
      <w:rFonts w:ascii="Segoe UI" w:eastAsiaTheme="minorEastAsia" w:hAnsi="Segoe UI" w:cs="Segoe UI"/>
      <w:color w:val="404040" w:themeColor="text1" w:themeTint="BF"/>
      <w:sz w:val="18"/>
      <w:szCs w:val="18"/>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2518068">
      <w:bodyDiv w:val="1"/>
      <w:marLeft w:val="0"/>
      <w:marRight w:val="0"/>
      <w:marTop w:val="0"/>
      <w:marBottom w:val="0"/>
      <w:divBdr>
        <w:top w:val="none" w:sz="0" w:space="0" w:color="auto"/>
        <w:left w:val="none" w:sz="0" w:space="0" w:color="auto"/>
        <w:bottom w:val="none" w:sz="0" w:space="0" w:color="auto"/>
        <w:right w:val="none" w:sz="0" w:space="0" w:color="auto"/>
      </w:divBdr>
    </w:div>
    <w:div w:id="1855416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7F6B4A-4098-4D85-9062-463452B3A6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943</Words>
  <Characters>6418</Characters>
  <Application>Microsoft Office Word</Application>
  <DocSecurity>0</DocSecurity>
  <Lines>1283</Lines>
  <Paragraphs>210</Paragraphs>
  <ScaleCrop>false</ScaleCrop>
  <Company/>
  <LinksUpToDate>false</LinksUpToDate>
  <CharactersWithSpaces>7151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Isabel Ivca Morales Contreras</cp:lastModifiedBy>
  <cp:revision>14</cp:revision>
  <cp:lastPrinted>2026-04-15T12:35:00Z</cp:lastPrinted>
  <dcterms:created xsi:type="dcterms:W3CDTF">2025-10-21T19:14:00Z</dcterms:created>
  <dcterms:modified xsi:type="dcterms:W3CDTF">2026-05-27T17:16:00Z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0409c19-2fb4-420c-8d70-ad7f63403864_Enabled">
    <vt:lpwstr>true</vt:lpwstr>
  </property>
  <property fmtid="{D5CDD505-2E9C-101B-9397-08002B2CF9AE}" pid="3" name="MSIP_Label_20409c19-2fb4-420c-8d70-ad7f63403864_SetDate">
    <vt:lpwstr>2025-10-21T19:14:41Z</vt:lpwstr>
  </property>
  <property fmtid="{D5CDD505-2E9C-101B-9397-08002B2CF9AE}" pid="4" name="MSIP_Label_20409c19-2fb4-420c-8d70-ad7f63403864_Method">
    <vt:lpwstr>Standard</vt:lpwstr>
  </property>
  <property fmtid="{D5CDD505-2E9C-101B-9397-08002B2CF9AE}" pid="5" name="MSIP_Label_20409c19-2fb4-420c-8d70-ad7f63403864_Name">
    <vt:lpwstr>defa4170-0d19-0005-0004-bc88714345d2</vt:lpwstr>
  </property>
  <property fmtid="{D5CDD505-2E9C-101B-9397-08002B2CF9AE}" pid="6" name="MSIP_Label_20409c19-2fb4-420c-8d70-ad7f63403864_SiteId">
    <vt:lpwstr>7254b8cd-2f8a-46df-bbb5-9bd7df4153ba</vt:lpwstr>
  </property>
  <property fmtid="{D5CDD505-2E9C-101B-9397-08002B2CF9AE}" pid="7" name="MSIP_Label_20409c19-2fb4-420c-8d70-ad7f63403864_ActionId">
    <vt:lpwstr>fac262e2-3e50-42d8-b055-20dfca430827</vt:lpwstr>
  </property>
  <property fmtid="{D5CDD505-2E9C-101B-9397-08002B2CF9AE}" pid="8" name="MSIP_Label_20409c19-2fb4-420c-8d70-ad7f63403864_ContentBits">
    <vt:lpwstr>0</vt:lpwstr>
  </property>
  <property fmtid="{D5CDD505-2E9C-101B-9397-08002B2CF9AE}" pid="9" name="MSIP_Label_20409c19-2fb4-420c-8d70-ad7f63403864_Tag">
    <vt:lpwstr>10, 3, 0, 2</vt:lpwstr>
  </property>
</Properties>
</file>