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B1E" w:rsidRDefault="00C34B1E" w:rsidP="00C34B1E">
      <w:pPr>
        <w:pStyle w:val="Heading1"/>
      </w:pPr>
      <w:r>
        <w:t>Summary of Descriptive Statistics and Interpretations of Predictors for Adverse Pregnancy Outcomes (APO)</w:t>
      </w:r>
    </w:p>
    <w:p w:rsidR="00C34B1E" w:rsidRDefault="00C34B1E" w:rsidP="00C34B1E">
      <w:pPr>
        <w:pStyle w:val="break-words"/>
      </w:pPr>
      <w:r>
        <w:rPr>
          <w:rStyle w:val="Strong"/>
        </w:rPr>
        <w:t>Dataset</w:t>
      </w:r>
      <w:r>
        <w:t>: 2022 Kenya Demographic and Health Survey (DHS</w:t>
      </w:r>
      <w:proofErr w:type="gramStart"/>
      <w:r>
        <w:t>)</w:t>
      </w:r>
      <w:proofErr w:type="gramEnd"/>
      <w:r>
        <w:br/>
      </w:r>
      <w:r>
        <w:rPr>
          <w:rStyle w:val="Strong"/>
        </w:rPr>
        <w:t>Outcome Variable</w:t>
      </w:r>
      <w:r>
        <w:t xml:space="preserve">: </w:t>
      </w:r>
      <w:proofErr w:type="spellStart"/>
      <w:r>
        <w:rPr>
          <w:rStyle w:val="text-sm"/>
        </w:rPr>
        <w:t>apo_general</w:t>
      </w:r>
      <w:proofErr w:type="spellEnd"/>
      <w:r>
        <w:t xml:space="preserve"> (</w:t>
      </w:r>
      <w:proofErr w:type="spellStart"/>
      <w:r>
        <w:t>NonAPO</w:t>
      </w:r>
      <w:proofErr w:type="spellEnd"/>
      <w:r>
        <w:t xml:space="preserve"> = No Adverse Pregnancy Outcome, A</w:t>
      </w:r>
      <w:r>
        <w:t>PO = Adverse Pregnancy Outcome)</w:t>
      </w:r>
    </w:p>
    <w:p w:rsidR="00C34B1E" w:rsidRDefault="00C34B1E" w:rsidP="00C34B1E">
      <w:pPr>
        <w:pStyle w:val="break-words"/>
      </w:pPr>
      <w:r>
        <w:t xml:space="preserve">This document summarizes the descriptive statistics and interpretations of predictors analyzed for their association with adverse pregnancy outcomes (APO) in the 2022 Kenya DHS dataset. Each predictor is presented with its descriptive statistics, comparison between </w:t>
      </w:r>
      <w:proofErr w:type="spellStart"/>
      <w:r>
        <w:t>NonAPO</w:t>
      </w:r>
      <w:proofErr w:type="spellEnd"/>
      <w:r>
        <w:t xml:space="preserve"> and APO groups, and interpretation in the context of APO risk and the 2022 Kenya DHS findings.</w:t>
      </w:r>
    </w:p>
    <w:p w:rsidR="00C34B1E" w:rsidRDefault="00C34B1E" w:rsidP="00C34B1E">
      <w:r>
        <w:pict>
          <v:rect id="_x0000_i1028" style="width:0;height:1.5pt" o:hralign="center" o:hrstd="t" o:hr="t" fillcolor="#a0a0a0" stroked="f"/>
        </w:pict>
      </w:r>
    </w:p>
    <w:p w:rsidR="00C34B1E" w:rsidRDefault="00C34B1E" w:rsidP="00C34B1E">
      <w:pPr>
        <w:pStyle w:val="Heading2"/>
      </w:pPr>
      <w:r>
        <w:t>1. Average Timing of First Antenatal Check (</w:t>
      </w:r>
      <w:proofErr w:type="spellStart"/>
      <w:r>
        <w:rPr>
          <w:rStyle w:val="text-sm"/>
        </w:rPr>
        <w:t>avg_timing_first_antenatal_check</w:t>
      </w:r>
      <w:proofErr w:type="spellEnd"/>
      <w:r>
        <w:t>)</w:t>
      </w:r>
    </w:p>
    <w:p w:rsidR="00C34B1E" w:rsidRDefault="00C34B1E" w:rsidP="00E371F0">
      <w:pPr>
        <w:numPr>
          <w:ilvl w:val="0"/>
          <w:numId w:val="1"/>
        </w:numPr>
        <w:spacing w:before="100" w:beforeAutospacing="1" w:after="100" w:afterAutospacing="1" w:line="240" w:lineRule="auto"/>
      </w:pPr>
      <w:r>
        <w:rPr>
          <w:rStyle w:val="Strong"/>
        </w:rPr>
        <w:t>Description</w:t>
      </w:r>
      <w:r>
        <w:t>: Average month of the first antenatal care visit across all pregnancies (in months, capped at 9 months; values &gt; 9 recoded to NA).</w:t>
      </w:r>
    </w:p>
    <w:p w:rsidR="00C34B1E" w:rsidRDefault="00C34B1E" w:rsidP="00E371F0">
      <w:pPr>
        <w:numPr>
          <w:ilvl w:val="0"/>
          <w:numId w:val="1"/>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1"/>
        </w:numPr>
        <w:spacing w:before="100" w:beforeAutospacing="1" w:after="100" w:afterAutospacing="1" w:line="240" w:lineRule="auto"/>
      </w:pPr>
      <w:proofErr w:type="spellStart"/>
      <w:r>
        <w:t>NonAPO</w:t>
      </w:r>
      <w:proofErr w:type="spellEnd"/>
      <w:r>
        <w:t>: Mean = 4.56 months.</w:t>
      </w:r>
    </w:p>
    <w:p w:rsidR="00C34B1E" w:rsidRDefault="00C34B1E" w:rsidP="00E371F0">
      <w:pPr>
        <w:numPr>
          <w:ilvl w:val="1"/>
          <w:numId w:val="1"/>
        </w:numPr>
        <w:spacing w:before="100" w:beforeAutospacing="1" w:after="100" w:afterAutospacing="1" w:line="240" w:lineRule="auto"/>
      </w:pPr>
      <w:r>
        <w:t>APO: Mean = 4.21 months.</w:t>
      </w:r>
    </w:p>
    <w:p w:rsidR="00C34B1E" w:rsidRDefault="00C34B1E" w:rsidP="00E371F0">
      <w:pPr>
        <w:numPr>
          <w:ilvl w:val="1"/>
          <w:numId w:val="1"/>
        </w:numPr>
        <w:spacing w:before="100" w:beforeAutospacing="1" w:after="100" w:afterAutospacing="1" w:line="240" w:lineRule="auto"/>
      </w:pPr>
      <w:r>
        <w:t>Difference: -0.35 months (APO women start antenatal care earlier).</w:t>
      </w:r>
    </w:p>
    <w:p w:rsidR="00C34B1E" w:rsidRDefault="00C34B1E" w:rsidP="00E371F0">
      <w:pPr>
        <w:numPr>
          <w:ilvl w:val="0"/>
          <w:numId w:val="1"/>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1"/>
        </w:numPr>
        <w:spacing w:before="100" w:beforeAutospacing="1" w:after="100" w:afterAutospacing="1" w:line="240" w:lineRule="auto"/>
      </w:pPr>
      <w:r>
        <w:t xml:space="preserve">APO women initiate antenatal care earlier (4.21 months vs. 4.56 months), which is </w:t>
      </w:r>
      <w:bookmarkStart w:id="0" w:name="_GoBack"/>
      <w:r>
        <w:t xml:space="preserve">unexpected since earlier antenatal care is typically associated with better outcomes. </w:t>
      </w:r>
      <w:bookmarkEnd w:id="0"/>
      <w:r>
        <w:t>This might reflect that APO women, who are more urban, wealthier, and educated, have better access to care and start earlier. However, earlier visits might also indicate higher-risk pregnancies (e.g., history of APO prompting earlier care).</w:t>
      </w:r>
    </w:p>
    <w:p w:rsidR="00C34B1E" w:rsidRDefault="00C34B1E" w:rsidP="00E371F0">
      <w:pPr>
        <w:numPr>
          <w:ilvl w:val="1"/>
          <w:numId w:val="1"/>
        </w:numPr>
        <w:spacing w:before="100" w:beforeAutospacing="1" w:after="100" w:afterAutospacing="1" w:line="240" w:lineRule="auto"/>
      </w:pPr>
      <w:r>
        <w:rPr>
          <w:rStyle w:val="Strong"/>
        </w:rPr>
        <w:t>Context with 2022 Kenya DHS</w:t>
      </w:r>
      <w:r>
        <w:t>: The DHS reports that 66% of women had their first antenatal visit in the first trimester (before 4 months), but our sample shows later averages (4.21–4.56 months), possibly because our data includes all pregnancies, not just the most recent, and averages across multiple births may include later visits.</w:t>
      </w:r>
    </w:p>
    <w:p w:rsidR="00C34B1E" w:rsidRDefault="00C34B1E" w:rsidP="00C34B1E">
      <w:pPr>
        <w:spacing w:after="0"/>
      </w:pPr>
      <w:r>
        <w:pict>
          <v:rect id="_x0000_i1029" style="width:0;height:1.5pt" o:hralign="center" o:hrstd="t" o:hr="t" fillcolor="#a0a0a0" stroked="f"/>
        </w:pict>
      </w:r>
    </w:p>
    <w:p w:rsidR="00C34B1E" w:rsidRDefault="00C34B1E" w:rsidP="00C34B1E">
      <w:pPr>
        <w:pStyle w:val="Heading2"/>
      </w:pPr>
      <w:r>
        <w:t>2. Average Number of Antenatal Visits (</w:t>
      </w:r>
      <w:proofErr w:type="spellStart"/>
      <w:r>
        <w:rPr>
          <w:rStyle w:val="text-sm"/>
        </w:rPr>
        <w:t>avg_num_antenatal_visits</w:t>
      </w:r>
      <w:proofErr w:type="spellEnd"/>
      <w:r>
        <w:t>)</w:t>
      </w:r>
    </w:p>
    <w:p w:rsidR="00C34B1E" w:rsidRDefault="00C34B1E" w:rsidP="00E371F0">
      <w:pPr>
        <w:numPr>
          <w:ilvl w:val="0"/>
          <w:numId w:val="2"/>
        </w:numPr>
        <w:spacing w:before="100" w:beforeAutospacing="1" w:after="100" w:afterAutospacing="1" w:line="240" w:lineRule="auto"/>
      </w:pPr>
      <w:r>
        <w:rPr>
          <w:rStyle w:val="Strong"/>
        </w:rPr>
        <w:t>Description</w:t>
      </w:r>
      <w:r>
        <w:t>: Average number of antenatal care visits across all pregnancies (capped at 12 visits; values &gt; 12 recoded to NA).</w:t>
      </w:r>
    </w:p>
    <w:p w:rsidR="00C34B1E" w:rsidRDefault="00C34B1E" w:rsidP="00E371F0">
      <w:pPr>
        <w:numPr>
          <w:ilvl w:val="0"/>
          <w:numId w:val="2"/>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2"/>
        </w:numPr>
        <w:spacing w:before="100" w:beforeAutospacing="1" w:after="100" w:afterAutospacing="1" w:line="240" w:lineRule="auto"/>
      </w:pPr>
      <w:proofErr w:type="spellStart"/>
      <w:r>
        <w:t>NonAPO</w:t>
      </w:r>
      <w:proofErr w:type="spellEnd"/>
      <w:r>
        <w:t>: Mean = 4.01 visits.</w:t>
      </w:r>
    </w:p>
    <w:p w:rsidR="00C34B1E" w:rsidRDefault="00C34B1E" w:rsidP="00E371F0">
      <w:pPr>
        <w:numPr>
          <w:ilvl w:val="1"/>
          <w:numId w:val="2"/>
        </w:numPr>
        <w:spacing w:before="100" w:beforeAutospacing="1" w:after="100" w:afterAutospacing="1" w:line="240" w:lineRule="auto"/>
      </w:pPr>
      <w:r>
        <w:t>APO: Mean = 4.28 visits.</w:t>
      </w:r>
    </w:p>
    <w:p w:rsidR="00C34B1E" w:rsidRDefault="00C34B1E" w:rsidP="00E371F0">
      <w:pPr>
        <w:numPr>
          <w:ilvl w:val="1"/>
          <w:numId w:val="2"/>
        </w:numPr>
        <w:spacing w:before="100" w:beforeAutospacing="1" w:after="100" w:afterAutospacing="1" w:line="240" w:lineRule="auto"/>
      </w:pPr>
      <w:r>
        <w:t>Difference: +0.27 visits (APO women have more visits).</w:t>
      </w:r>
    </w:p>
    <w:p w:rsidR="00C34B1E" w:rsidRDefault="00C34B1E" w:rsidP="00E371F0">
      <w:pPr>
        <w:numPr>
          <w:ilvl w:val="0"/>
          <w:numId w:val="2"/>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2"/>
        </w:numPr>
        <w:spacing w:before="100" w:beforeAutospacing="1" w:after="100" w:afterAutospacing="1" w:line="240" w:lineRule="auto"/>
      </w:pPr>
      <w:r>
        <w:t xml:space="preserve">APO women have slightly more antenatal visits (4.28 vs. 4.01), which is unexpected since more visits are typically associated with better outcomes. This might reflect </w:t>
      </w:r>
      <w:r>
        <w:lastRenderedPageBreak/>
        <w:t>higher-risk pregnancies in the APO group (e.g., history of APO leading to more monitoring) or better access to care (APO women are more urban, wealthier, and educated).</w:t>
      </w:r>
    </w:p>
    <w:p w:rsidR="00C34B1E" w:rsidRDefault="00C34B1E" w:rsidP="00E371F0">
      <w:pPr>
        <w:numPr>
          <w:ilvl w:val="1"/>
          <w:numId w:val="2"/>
        </w:numPr>
        <w:spacing w:before="100" w:beforeAutospacing="1" w:after="100" w:afterAutospacing="1" w:line="240" w:lineRule="auto"/>
      </w:pPr>
      <w:r>
        <w:rPr>
          <w:rStyle w:val="Strong"/>
        </w:rPr>
        <w:t>Context with 2022 Kenya DHS</w:t>
      </w:r>
      <w:r>
        <w:t>: The DHS reports that 58% of women had 4 or more antenatal visits for their most recent birth, aligning with our averages (4.01–4.28). The slightly higher number in the APO group might indicate more intensive care due to perceived risk.</w:t>
      </w:r>
    </w:p>
    <w:p w:rsidR="00C34B1E" w:rsidRDefault="00C34B1E" w:rsidP="00C34B1E">
      <w:pPr>
        <w:spacing w:after="0"/>
      </w:pPr>
      <w:r>
        <w:pict>
          <v:rect id="_x0000_i1030" style="width:0;height:1.5pt" o:hralign="center" o:hrstd="t" o:hr="t" fillcolor="#a0a0a0" stroked="f"/>
        </w:pict>
      </w:r>
    </w:p>
    <w:p w:rsidR="00C34B1E" w:rsidRDefault="00C34B1E" w:rsidP="00C34B1E">
      <w:pPr>
        <w:pStyle w:val="Heading2"/>
      </w:pPr>
      <w:r>
        <w:t>3. Proportion of Cesarean Births (</w:t>
      </w:r>
      <w:proofErr w:type="spellStart"/>
      <w:r>
        <w:rPr>
          <w:rStyle w:val="text-sm"/>
        </w:rPr>
        <w:t>prop_cesarean</w:t>
      </w:r>
      <w:proofErr w:type="spellEnd"/>
      <w:r>
        <w:t>)</w:t>
      </w:r>
    </w:p>
    <w:p w:rsidR="00C34B1E" w:rsidRDefault="00C34B1E" w:rsidP="00E371F0">
      <w:pPr>
        <w:numPr>
          <w:ilvl w:val="0"/>
          <w:numId w:val="3"/>
        </w:numPr>
        <w:spacing w:before="100" w:beforeAutospacing="1" w:after="100" w:afterAutospacing="1" w:line="240" w:lineRule="auto"/>
      </w:pPr>
      <w:r>
        <w:rPr>
          <w:rStyle w:val="Strong"/>
        </w:rPr>
        <w:t>Description</w:t>
      </w:r>
      <w:r>
        <w:t>: Proportion of births delivered by cesarean section across all pregnancies (binary: 0 = No, 1 = Yes).</w:t>
      </w:r>
    </w:p>
    <w:p w:rsidR="00C34B1E" w:rsidRDefault="00C34B1E" w:rsidP="00E371F0">
      <w:pPr>
        <w:numPr>
          <w:ilvl w:val="0"/>
          <w:numId w:val="3"/>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3"/>
        </w:numPr>
        <w:spacing w:before="100" w:beforeAutospacing="1" w:after="100" w:afterAutospacing="1" w:line="240" w:lineRule="auto"/>
      </w:pPr>
      <w:proofErr w:type="spellStart"/>
      <w:r>
        <w:t>NonAPO</w:t>
      </w:r>
      <w:proofErr w:type="spellEnd"/>
      <w:r>
        <w:t>: Proportion = 13.0%.</w:t>
      </w:r>
    </w:p>
    <w:p w:rsidR="00C34B1E" w:rsidRDefault="00C34B1E" w:rsidP="00E371F0">
      <w:pPr>
        <w:numPr>
          <w:ilvl w:val="1"/>
          <w:numId w:val="3"/>
        </w:numPr>
        <w:spacing w:before="100" w:beforeAutospacing="1" w:after="100" w:afterAutospacing="1" w:line="240" w:lineRule="auto"/>
      </w:pPr>
      <w:r>
        <w:t>APO: Proportion = 16.3%.</w:t>
      </w:r>
    </w:p>
    <w:p w:rsidR="00C34B1E" w:rsidRDefault="00C34B1E" w:rsidP="00E371F0">
      <w:pPr>
        <w:numPr>
          <w:ilvl w:val="1"/>
          <w:numId w:val="3"/>
        </w:numPr>
        <w:spacing w:before="100" w:beforeAutospacing="1" w:after="100" w:afterAutospacing="1" w:line="240" w:lineRule="auto"/>
      </w:pPr>
      <w:r>
        <w:t>Difference: +3.3 percentage points (APO women have more cesareans).</w:t>
      </w:r>
    </w:p>
    <w:p w:rsidR="00C34B1E" w:rsidRDefault="00C34B1E" w:rsidP="00E371F0">
      <w:pPr>
        <w:numPr>
          <w:ilvl w:val="0"/>
          <w:numId w:val="3"/>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3"/>
        </w:numPr>
        <w:spacing w:before="100" w:beforeAutospacing="1" w:after="100" w:afterAutospacing="1" w:line="240" w:lineRule="auto"/>
      </w:pPr>
      <w:r>
        <w:t>APO women have a higher proportion of cesarean deliveries (16.3% vs. 13.0%), which aligns with expectations: cesareans are often performed in high-risk pregnancies (e.g., preterm birth, fetal distress), which are components of APO.</w:t>
      </w:r>
    </w:p>
    <w:p w:rsidR="00C34B1E" w:rsidRDefault="00C34B1E" w:rsidP="00E371F0">
      <w:pPr>
        <w:numPr>
          <w:ilvl w:val="1"/>
          <w:numId w:val="3"/>
        </w:numPr>
        <w:spacing w:before="100" w:beforeAutospacing="1" w:after="100" w:afterAutospacing="1" w:line="240" w:lineRule="auto"/>
      </w:pPr>
      <w:r>
        <w:rPr>
          <w:rStyle w:val="Strong"/>
        </w:rPr>
        <w:t>Context with 2022 Kenya DHS</w:t>
      </w:r>
      <w:r>
        <w:t>: The DHS reports a cesarean section rate of 14% for the most recent birth, consistent with our overall rate (13.0%–16.3%). The higher rate in the APO group supports the association between cesareans and adverse outcomes.</w:t>
      </w:r>
    </w:p>
    <w:p w:rsidR="00C34B1E" w:rsidRDefault="00C34B1E" w:rsidP="00C34B1E">
      <w:pPr>
        <w:spacing w:after="0"/>
      </w:pPr>
      <w:r>
        <w:pict>
          <v:rect id="_x0000_i1031" style="width:0;height:1.5pt" o:hralign="center" o:hrstd="t" o:hr="t" fillcolor="#a0a0a0" stroked="f"/>
        </w:pict>
      </w:r>
    </w:p>
    <w:p w:rsidR="00C34B1E" w:rsidRDefault="00C34B1E" w:rsidP="00C34B1E">
      <w:pPr>
        <w:pStyle w:val="Heading2"/>
      </w:pPr>
      <w:r>
        <w:t>4. Place of Residence (</w:t>
      </w:r>
      <w:proofErr w:type="spellStart"/>
      <w:r>
        <w:rPr>
          <w:rStyle w:val="text-sm"/>
        </w:rPr>
        <w:t>place_of_residence</w:t>
      </w:r>
      <w:proofErr w:type="spellEnd"/>
      <w:r>
        <w:t>)</w:t>
      </w:r>
    </w:p>
    <w:p w:rsidR="00C34B1E" w:rsidRDefault="00C34B1E" w:rsidP="00E371F0">
      <w:pPr>
        <w:numPr>
          <w:ilvl w:val="0"/>
          <w:numId w:val="4"/>
        </w:numPr>
        <w:spacing w:before="100" w:beforeAutospacing="1" w:after="100" w:afterAutospacing="1" w:line="240" w:lineRule="auto"/>
      </w:pPr>
      <w:r>
        <w:rPr>
          <w:rStyle w:val="Strong"/>
        </w:rPr>
        <w:t>Description</w:t>
      </w:r>
      <w:r>
        <w:t>: Urban or rural residence (binary: Urban, Rural).</w:t>
      </w:r>
    </w:p>
    <w:p w:rsidR="00C34B1E" w:rsidRDefault="00C34B1E" w:rsidP="00E371F0">
      <w:pPr>
        <w:numPr>
          <w:ilvl w:val="0"/>
          <w:numId w:val="4"/>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4"/>
        </w:numPr>
        <w:spacing w:before="100" w:beforeAutospacing="1" w:after="100" w:afterAutospacing="1" w:line="240" w:lineRule="auto"/>
      </w:pPr>
      <w:proofErr w:type="spellStart"/>
      <w:r>
        <w:t>NonAPO</w:t>
      </w:r>
      <w:proofErr w:type="spellEnd"/>
      <w:r>
        <w:t>: APO rate = 15.93% (urban women).</w:t>
      </w:r>
    </w:p>
    <w:p w:rsidR="00C34B1E" w:rsidRDefault="00C34B1E" w:rsidP="00E371F0">
      <w:pPr>
        <w:numPr>
          <w:ilvl w:val="1"/>
          <w:numId w:val="4"/>
        </w:numPr>
        <w:spacing w:before="100" w:beforeAutospacing="1" w:after="100" w:afterAutospacing="1" w:line="240" w:lineRule="auto"/>
      </w:pPr>
      <w:r>
        <w:t>APO: APO rate = 18.39% (urban women).</w:t>
      </w:r>
    </w:p>
    <w:p w:rsidR="00C34B1E" w:rsidRDefault="00C34B1E" w:rsidP="00E371F0">
      <w:pPr>
        <w:numPr>
          <w:ilvl w:val="1"/>
          <w:numId w:val="4"/>
        </w:numPr>
        <w:spacing w:before="100" w:beforeAutospacing="1" w:after="100" w:afterAutospacing="1" w:line="240" w:lineRule="auto"/>
      </w:pPr>
      <w:r>
        <w:t>Difference: Urban women are more likely to have APO (+2.46 percentage points).</w:t>
      </w:r>
    </w:p>
    <w:p w:rsidR="00C34B1E" w:rsidRDefault="00C34B1E" w:rsidP="00E371F0">
      <w:pPr>
        <w:numPr>
          <w:ilvl w:val="0"/>
          <w:numId w:val="4"/>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4"/>
        </w:numPr>
        <w:spacing w:before="100" w:beforeAutospacing="1" w:after="100" w:afterAutospacing="1" w:line="240" w:lineRule="auto"/>
      </w:pPr>
      <w:r>
        <w:t xml:space="preserve">Urban women have a higher APO rate (18.39% vs. 15.93%), which is unexpected since urban residence is typically associated with better access to healthcare and lower APO risk. This might be due to urban women having more pregnancies (as seen with </w:t>
      </w:r>
      <w:proofErr w:type="spellStart"/>
      <w:r>
        <w:rPr>
          <w:rStyle w:val="text-sm"/>
        </w:rPr>
        <w:t>total_pregnancies</w:t>
      </w:r>
      <w:proofErr w:type="spellEnd"/>
      <w:r>
        <w:t>) or higher detection rates of APO due to better healthcare access.</w:t>
      </w:r>
    </w:p>
    <w:p w:rsidR="00C34B1E" w:rsidRDefault="00C34B1E" w:rsidP="00E371F0">
      <w:pPr>
        <w:numPr>
          <w:ilvl w:val="1"/>
          <w:numId w:val="4"/>
        </w:numPr>
        <w:spacing w:before="100" w:beforeAutospacing="1" w:after="100" w:afterAutospacing="1" w:line="240" w:lineRule="auto"/>
      </w:pPr>
      <w:r>
        <w:rPr>
          <w:rStyle w:val="Strong"/>
        </w:rPr>
        <w:t>Context with 2022 Kenya DHS</w:t>
      </w:r>
      <w:r>
        <w:t>: The DHS reports better health outcomes in urban areas (e.g., 71% of urban women had 4+ antenatal visits vs. 52% rural), but our data suggests that urban women’s higher APO rate might be linked to other factors like lifestyle or stress.</w:t>
      </w:r>
    </w:p>
    <w:p w:rsidR="00C34B1E" w:rsidRDefault="00C34B1E" w:rsidP="00C34B1E">
      <w:pPr>
        <w:spacing w:after="0"/>
      </w:pPr>
      <w:r>
        <w:pict>
          <v:rect id="_x0000_i1032" style="width:0;height:1.5pt" o:hralign="center" o:hrstd="t" o:hr="t" fillcolor="#a0a0a0" stroked="f"/>
        </w:pict>
      </w:r>
    </w:p>
    <w:p w:rsidR="00C34B1E" w:rsidRDefault="00C34B1E" w:rsidP="00C34B1E">
      <w:pPr>
        <w:pStyle w:val="Heading2"/>
      </w:pPr>
      <w:r>
        <w:lastRenderedPageBreak/>
        <w:t>5. Wealth Index (</w:t>
      </w:r>
      <w:proofErr w:type="spellStart"/>
      <w:r>
        <w:rPr>
          <w:rStyle w:val="text-sm"/>
        </w:rPr>
        <w:t>wealth_index</w:t>
      </w:r>
      <w:proofErr w:type="spellEnd"/>
      <w:r>
        <w:t>)</w:t>
      </w:r>
    </w:p>
    <w:p w:rsidR="00C34B1E" w:rsidRDefault="00C34B1E" w:rsidP="00E371F0">
      <w:pPr>
        <w:numPr>
          <w:ilvl w:val="0"/>
          <w:numId w:val="5"/>
        </w:numPr>
        <w:spacing w:before="100" w:beforeAutospacing="1" w:after="100" w:afterAutospacing="1" w:line="240" w:lineRule="auto"/>
      </w:pPr>
      <w:r>
        <w:rPr>
          <w:rStyle w:val="Strong"/>
        </w:rPr>
        <w:t>Description</w:t>
      </w:r>
      <w:r>
        <w:t>: Household wealth quintile (Poorest, Poorer, Middle, Richer, Richest).</w:t>
      </w:r>
    </w:p>
    <w:p w:rsidR="00C34B1E" w:rsidRDefault="00C34B1E" w:rsidP="00E371F0">
      <w:pPr>
        <w:numPr>
          <w:ilvl w:val="0"/>
          <w:numId w:val="5"/>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5"/>
        </w:numPr>
        <w:spacing w:before="100" w:beforeAutospacing="1" w:after="100" w:afterAutospacing="1" w:line="240" w:lineRule="auto"/>
      </w:pPr>
      <w:r>
        <w:t xml:space="preserve">APO rate in </w:t>
      </w:r>
      <w:proofErr w:type="gramStart"/>
      <w:r>
        <w:t>Richest</w:t>
      </w:r>
      <w:proofErr w:type="gramEnd"/>
      <w:r>
        <w:t xml:space="preserve"> quintile: 18.55%.</w:t>
      </w:r>
    </w:p>
    <w:p w:rsidR="00C34B1E" w:rsidRDefault="00C34B1E" w:rsidP="00E371F0">
      <w:pPr>
        <w:numPr>
          <w:ilvl w:val="1"/>
          <w:numId w:val="5"/>
        </w:numPr>
        <w:spacing w:before="100" w:beforeAutospacing="1" w:after="100" w:afterAutospacing="1" w:line="240" w:lineRule="auto"/>
      </w:pPr>
      <w:r>
        <w:t>Difference: Wealthier women (Richest) have a higher APO rate compared to the overall sample (16.3%–18.39%).</w:t>
      </w:r>
    </w:p>
    <w:p w:rsidR="00C34B1E" w:rsidRDefault="00C34B1E" w:rsidP="00E371F0">
      <w:pPr>
        <w:numPr>
          <w:ilvl w:val="0"/>
          <w:numId w:val="5"/>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5"/>
        </w:numPr>
        <w:spacing w:before="100" w:beforeAutospacing="1" w:after="100" w:afterAutospacing="1" w:line="240" w:lineRule="auto"/>
      </w:pPr>
      <w:r>
        <w:t>Wealthier women have a higher APO rate, which is unexpected since higher wealth is typically associated with better outcomes. This might be confounded by urban residence (wealthier women are more urban) or higher detection rates of APO due to better access to care.</w:t>
      </w:r>
    </w:p>
    <w:p w:rsidR="00C34B1E" w:rsidRDefault="00C34B1E" w:rsidP="00E371F0">
      <w:pPr>
        <w:numPr>
          <w:ilvl w:val="1"/>
          <w:numId w:val="5"/>
        </w:numPr>
        <w:spacing w:before="100" w:beforeAutospacing="1" w:after="100" w:afterAutospacing="1" w:line="240" w:lineRule="auto"/>
      </w:pPr>
      <w:r>
        <w:rPr>
          <w:rStyle w:val="Strong"/>
        </w:rPr>
        <w:t>Context with 2022 Kenya DHS</w:t>
      </w:r>
      <w:r>
        <w:t>: The DHS shows that wealthier women have better access to care (e.g., 78% of Richest women had 4+ antenatal visits vs. 40% Poorest), but our data suggests that wealth might not protect against APO, possibly due to lifestyle factors or more pregnancies.</w:t>
      </w:r>
    </w:p>
    <w:p w:rsidR="00C34B1E" w:rsidRDefault="00C34B1E" w:rsidP="00C34B1E">
      <w:pPr>
        <w:spacing w:after="0"/>
      </w:pPr>
      <w:r>
        <w:pict>
          <v:rect id="_x0000_i1033" style="width:0;height:1.5pt" o:hralign="center" o:hrstd="t" o:hr="t" fillcolor="#a0a0a0" stroked="f"/>
        </w:pict>
      </w:r>
    </w:p>
    <w:p w:rsidR="00C34B1E" w:rsidRDefault="00C34B1E" w:rsidP="00C34B1E">
      <w:pPr>
        <w:pStyle w:val="Heading2"/>
      </w:pPr>
      <w:r>
        <w:t>6. Highest Education Level (</w:t>
      </w:r>
      <w:proofErr w:type="spellStart"/>
      <w:r>
        <w:rPr>
          <w:rStyle w:val="text-sm"/>
        </w:rPr>
        <w:t>highest_education_level</w:t>
      </w:r>
      <w:proofErr w:type="spellEnd"/>
      <w:r>
        <w:t>)</w:t>
      </w:r>
    </w:p>
    <w:p w:rsidR="00C34B1E" w:rsidRDefault="00C34B1E" w:rsidP="00E371F0">
      <w:pPr>
        <w:numPr>
          <w:ilvl w:val="0"/>
          <w:numId w:val="6"/>
        </w:numPr>
        <w:spacing w:before="100" w:beforeAutospacing="1" w:after="100" w:afterAutospacing="1" w:line="240" w:lineRule="auto"/>
      </w:pPr>
      <w:r>
        <w:rPr>
          <w:rStyle w:val="Strong"/>
        </w:rPr>
        <w:t>Description</w:t>
      </w:r>
      <w:r>
        <w:t>: Highest level of education (No Education, Primary, Secondary, Higher).</w:t>
      </w:r>
    </w:p>
    <w:p w:rsidR="00C34B1E" w:rsidRDefault="00C34B1E" w:rsidP="00E371F0">
      <w:pPr>
        <w:numPr>
          <w:ilvl w:val="0"/>
          <w:numId w:val="6"/>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6"/>
        </w:numPr>
        <w:spacing w:before="100" w:beforeAutospacing="1" w:after="100" w:afterAutospacing="1" w:line="240" w:lineRule="auto"/>
      </w:pPr>
      <w:r>
        <w:t>APO rate in Higher education: 18.51%.</w:t>
      </w:r>
    </w:p>
    <w:p w:rsidR="00C34B1E" w:rsidRDefault="00C34B1E" w:rsidP="00E371F0">
      <w:pPr>
        <w:numPr>
          <w:ilvl w:val="1"/>
          <w:numId w:val="6"/>
        </w:numPr>
        <w:spacing w:before="100" w:beforeAutospacing="1" w:after="100" w:afterAutospacing="1" w:line="240" w:lineRule="auto"/>
      </w:pPr>
      <w:r>
        <w:t>Difference: Women with higher education have a higher APO rate compared to the overall sample (16.3%–18.39%).</w:t>
      </w:r>
    </w:p>
    <w:p w:rsidR="00C34B1E" w:rsidRDefault="00C34B1E" w:rsidP="00E371F0">
      <w:pPr>
        <w:numPr>
          <w:ilvl w:val="0"/>
          <w:numId w:val="6"/>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6"/>
        </w:numPr>
        <w:spacing w:before="100" w:beforeAutospacing="1" w:after="100" w:afterAutospacing="1" w:line="240" w:lineRule="auto"/>
      </w:pPr>
      <w:r>
        <w:t>Women with higher education have a higher APO rate, which is unexpected since education is typically protective. This might be confounded by urban residence and wealth (educated women are more urban and wealthier) or higher detection rates of APO.</w:t>
      </w:r>
    </w:p>
    <w:p w:rsidR="00C34B1E" w:rsidRDefault="00C34B1E" w:rsidP="00E371F0">
      <w:pPr>
        <w:numPr>
          <w:ilvl w:val="1"/>
          <w:numId w:val="6"/>
        </w:numPr>
        <w:spacing w:before="100" w:beforeAutospacing="1" w:after="100" w:afterAutospacing="1" w:line="240" w:lineRule="auto"/>
      </w:pPr>
      <w:r>
        <w:rPr>
          <w:rStyle w:val="Strong"/>
        </w:rPr>
        <w:t>Context with 2022 Kenya DHS</w:t>
      </w:r>
      <w:r>
        <w:t>: The DHS shows that educated women have better health outcomes (e.g., 76% of women with secondary education had 4+ antenatal visits vs. 38% with no education), but our data suggests that education might not protect against APO, possibly due to confounding factors.</w:t>
      </w:r>
    </w:p>
    <w:p w:rsidR="00C34B1E" w:rsidRDefault="00C34B1E" w:rsidP="00C34B1E">
      <w:pPr>
        <w:spacing w:after="0"/>
      </w:pPr>
      <w:r>
        <w:pict>
          <v:rect id="_x0000_i1034" style="width:0;height:1.5pt" o:hralign="center" o:hrstd="t" o:hr="t" fillcolor="#a0a0a0" stroked="f"/>
        </w:pict>
      </w:r>
    </w:p>
    <w:p w:rsidR="00C34B1E" w:rsidRDefault="00C34B1E" w:rsidP="00C34B1E">
      <w:pPr>
        <w:pStyle w:val="Heading2"/>
      </w:pPr>
      <w:r>
        <w:t xml:space="preserve">7. Average Tetanus Vaccinations </w:t>
      </w:r>
      <w:proofErr w:type="gramStart"/>
      <w:r>
        <w:t>During</w:t>
      </w:r>
      <w:proofErr w:type="gramEnd"/>
      <w:r>
        <w:t xml:space="preserve"> Pregnancy (</w:t>
      </w:r>
      <w:proofErr w:type="spellStart"/>
      <w:r>
        <w:rPr>
          <w:rStyle w:val="text-sm"/>
        </w:rPr>
        <w:t>avg_tetanus_during_pregnancy</w:t>
      </w:r>
      <w:proofErr w:type="spellEnd"/>
      <w:r>
        <w:t>)</w:t>
      </w:r>
    </w:p>
    <w:p w:rsidR="00C34B1E" w:rsidRDefault="00C34B1E" w:rsidP="00E371F0">
      <w:pPr>
        <w:numPr>
          <w:ilvl w:val="0"/>
          <w:numId w:val="7"/>
        </w:numPr>
        <w:spacing w:before="100" w:beforeAutospacing="1" w:after="100" w:afterAutospacing="1" w:line="240" w:lineRule="auto"/>
      </w:pPr>
      <w:r>
        <w:rPr>
          <w:rStyle w:val="Strong"/>
        </w:rPr>
        <w:t>Description</w:t>
      </w:r>
      <w:r>
        <w:t>: Average number of tetanus vaccinations received during pregnancy (capped at 5; values &gt; 5 recoded to NA).</w:t>
      </w:r>
    </w:p>
    <w:p w:rsidR="00C34B1E" w:rsidRDefault="00C34B1E" w:rsidP="00E371F0">
      <w:pPr>
        <w:numPr>
          <w:ilvl w:val="0"/>
          <w:numId w:val="7"/>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7"/>
        </w:numPr>
        <w:spacing w:before="100" w:beforeAutospacing="1" w:after="100" w:afterAutospacing="1" w:line="240" w:lineRule="auto"/>
      </w:pPr>
      <w:proofErr w:type="spellStart"/>
      <w:r>
        <w:t>NonAPO</w:t>
      </w:r>
      <w:proofErr w:type="spellEnd"/>
      <w:r>
        <w:t>: Mean = 1.50 vaccinations.</w:t>
      </w:r>
    </w:p>
    <w:p w:rsidR="00C34B1E" w:rsidRDefault="00C34B1E" w:rsidP="00E371F0">
      <w:pPr>
        <w:numPr>
          <w:ilvl w:val="1"/>
          <w:numId w:val="7"/>
        </w:numPr>
        <w:spacing w:before="100" w:beforeAutospacing="1" w:after="100" w:afterAutospacing="1" w:line="240" w:lineRule="auto"/>
      </w:pPr>
      <w:r>
        <w:t>APO: Mean = 1.81 vaccinations.</w:t>
      </w:r>
    </w:p>
    <w:p w:rsidR="00C34B1E" w:rsidRDefault="00C34B1E" w:rsidP="00E371F0">
      <w:pPr>
        <w:numPr>
          <w:ilvl w:val="1"/>
          <w:numId w:val="7"/>
        </w:numPr>
        <w:spacing w:before="100" w:beforeAutospacing="1" w:after="100" w:afterAutospacing="1" w:line="240" w:lineRule="auto"/>
      </w:pPr>
      <w:r>
        <w:t>Difference: +0.31 vaccinations (APO women have more vaccinations).</w:t>
      </w:r>
    </w:p>
    <w:p w:rsidR="00C34B1E" w:rsidRDefault="00C34B1E" w:rsidP="00E371F0">
      <w:pPr>
        <w:numPr>
          <w:ilvl w:val="0"/>
          <w:numId w:val="7"/>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7"/>
        </w:numPr>
        <w:spacing w:before="100" w:beforeAutospacing="1" w:after="100" w:afterAutospacing="1" w:line="240" w:lineRule="auto"/>
      </w:pPr>
      <w:r>
        <w:lastRenderedPageBreak/>
        <w:t>APO women have more tetanus vaccinations during pregnancy (1.81 vs. 1.50), which might reflect higher-risk pregnancies (e.g., history of APO prompting more vaccinations) or better access to care (APO women are more urban, wealthier, and educated).</w:t>
      </w:r>
    </w:p>
    <w:p w:rsidR="00C34B1E" w:rsidRDefault="00C34B1E" w:rsidP="00E371F0">
      <w:pPr>
        <w:numPr>
          <w:ilvl w:val="1"/>
          <w:numId w:val="7"/>
        </w:numPr>
        <w:spacing w:before="100" w:beforeAutospacing="1" w:after="100" w:afterAutospacing="1" w:line="240" w:lineRule="auto"/>
      </w:pPr>
      <w:r>
        <w:rPr>
          <w:rStyle w:val="Strong"/>
        </w:rPr>
        <w:t>Context with 2022 Kenya DHS</w:t>
      </w:r>
      <w:r>
        <w:t>: The DHS reports that 70% of women received 2+ tetanus doses during their last pregnancy, but our averages (1.50–1.81) are lower, possibly because we’re averaging across all pregnancies, including those with no vaccinations.</w:t>
      </w:r>
    </w:p>
    <w:p w:rsidR="00C34B1E" w:rsidRDefault="00C34B1E" w:rsidP="00C34B1E">
      <w:pPr>
        <w:spacing w:after="0"/>
      </w:pPr>
      <w:r>
        <w:pict>
          <v:rect id="_x0000_i1035" style="width:0;height:1.5pt" o:hralign="center" o:hrstd="t" o:hr="t" fillcolor="#a0a0a0" stroked="f"/>
        </w:pict>
      </w:r>
    </w:p>
    <w:p w:rsidR="00C34B1E" w:rsidRDefault="00C34B1E" w:rsidP="00C34B1E">
      <w:pPr>
        <w:pStyle w:val="Heading2"/>
      </w:pPr>
      <w:r>
        <w:t>8. Average Succeeding Birth Interval (</w:t>
      </w:r>
      <w:proofErr w:type="spellStart"/>
      <w:r>
        <w:rPr>
          <w:rStyle w:val="text-sm"/>
        </w:rPr>
        <w:t>avg_succeeding_birth_interval</w:t>
      </w:r>
      <w:proofErr w:type="spellEnd"/>
      <w:r>
        <w:t>)</w:t>
      </w:r>
    </w:p>
    <w:p w:rsidR="00C34B1E" w:rsidRDefault="00C34B1E" w:rsidP="00E371F0">
      <w:pPr>
        <w:numPr>
          <w:ilvl w:val="0"/>
          <w:numId w:val="8"/>
        </w:numPr>
        <w:spacing w:before="100" w:beforeAutospacing="1" w:after="100" w:afterAutospacing="1" w:line="240" w:lineRule="auto"/>
      </w:pPr>
      <w:r>
        <w:rPr>
          <w:rStyle w:val="Strong"/>
        </w:rPr>
        <w:t>Description</w:t>
      </w:r>
      <w:r>
        <w:t>: Average interval between consecutive births (in months, capped at 120 months; values &gt; 120 or &lt; 0 recoded to NA).</w:t>
      </w:r>
    </w:p>
    <w:p w:rsidR="00C34B1E" w:rsidRDefault="00C34B1E" w:rsidP="00E371F0">
      <w:pPr>
        <w:numPr>
          <w:ilvl w:val="0"/>
          <w:numId w:val="8"/>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8"/>
        </w:numPr>
        <w:spacing w:before="100" w:beforeAutospacing="1" w:after="100" w:afterAutospacing="1" w:line="240" w:lineRule="auto"/>
      </w:pPr>
      <w:proofErr w:type="spellStart"/>
      <w:r>
        <w:t>NonAPO</w:t>
      </w:r>
      <w:proofErr w:type="spellEnd"/>
      <w:r>
        <w:t>: Mean = 41.7 months.</w:t>
      </w:r>
    </w:p>
    <w:p w:rsidR="00C34B1E" w:rsidRDefault="00C34B1E" w:rsidP="00E371F0">
      <w:pPr>
        <w:numPr>
          <w:ilvl w:val="1"/>
          <w:numId w:val="8"/>
        </w:numPr>
        <w:spacing w:before="100" w:beforeAutospacing="1" w:after="100" w:afterAutospacing="1" w:line="240" w:lineRule="auto"/>
      </w:pPr>
      <w:r>
        <w:t>APO: Mean = 43.2 months.</w:t>
      </w:r>
    </w:p>
    <w:p w:rsidR="00C34B1E" w:rsidRDefault="00C34B1E" w:rsidP="00E371F0">
      <w:pPr>
        <w:numPr>
          <w:ilvl w:val="1"/>
          <w:numId w:val="8"/>
        </w:numPr>
        <w:spacing w:before="100" w:beforeAutospacing="1" w:after="100" w:afterAutospacing="1" w:line="240" w:lineRule="auto"/>
      </w:pPr>
      <w:r>
        <w:t>Difference: +1.5 months (APO women have longer intervals).</w:t>
      </w:r>
    </w:p>
    <w:p w:rsidR="00C34B1E" w:rsidRDefault="00C34B1E" w:rsidP="00E371F0">
      <w:pPr>
        <w:numPr>
          <w:ilvl w:val="0"/>
          <w:numId w:val="8"/>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8"/>
        </w:numPr>
        <w:spacing w:before="100" w:beforeAutospacing="1" w:after="100" w:afterAutospacing="1" w:line="240" w:lineRule="auto"/>
      </w:pPr>
      <w:r>
        <w:t>APO women have slightly longer birth intervals (43.2 vs. 41.7 months), which is unexpected since shorter intervals (&lt;24 months) are typically associated with higher APO risk. This might reflect that APO women, being more educated and urban, are better able to space births, but it doesn’t seem to protect against APO.</w:t>
      </w:r>
    </w:p>
    <w:p w:rsidR="00C34B1E" w:rsidRDefault="00C34B1E" w:rsidP="00E371F0">
      <w:pPr>
        <w:numPr>
          <w:ilvl w:val="1"/>
          <w:numId w:val="8"/>
        </w:numPr>
        <w:spacing w:before="100" w:beforeAutospacing="1" w:after="100" w:afterAutospacing="1" w:line="240" w:lineRule="auto"/>
      </w:pPr>
      <w:r>
        <w:rPr>
          <w:rStyle w:val="Strong"/>
        </w:rPr>
        <w:t>Context with 2022 Kenya DHS</w:t>
      </w:r>
      <w:r>
        <w:t>: The DHS reports a median birth interval of 39 months, slightly lower than our averages (41.7–43.2), possibly because our sample includes all intervals, not just recent ones.</w:t>
      </w:r>
    </w:p>
    <w:p w:rsidR="00C34B1E" w:rsidRDefault="00C34B1E" w:rsidP="00C34B1E">
      <w:pPr>
        <w:spacing w:after="0"/>
      </w:pPr>
      <w:r>
        <w:pict>
          <v:rect id="_x0000_i1036" style="width:0;height:1.5pt" o:hralign="center" o:hrstd="t" o:hr="t" fillcolor="#a0a0a0" stroked="f"/>
        </w:pict>
      </w:r>
    </w:p>
    <w:p w:rsidR="00C34B1E" w:rsidRDefault="00C34B1E" w:rsidP="00C34B1E">
      <w:pPr>
        <w:pStyle w:val="Heading2"/>
      </w:pPr>
      <w:r>
        <w:t>9. Proportion of Short Succeeding Intervals (</w:t>
      </w:r>
      <w:proofErr w:type="spellStart"/>
      <w:r>
        <w:rPr>
          <w:rStyle w:val="text-sm"/>
        </w:rPr>
        <w:t>prop_short_succeeding_interval</w:t>
      </w:r>
      <w:proofErr w:type="spellEnd"/>
      <w:r>
        <w:t>)</w:t>
      </w:r>
    </w:p>
    <w:p w:rsidR="00C34B1E" w:rsidRDefault="00C34B1E" w:rsidP="00E371F0">
      <w:pPr>
        <w:numPr>
          <w:ilvl w:val="0"/>
          <w:numId w:val="9"/>
        </w:numPr>
        <w:spacing w:before="100" w:beforeAutospacing="1" w:after="100" w:afterAutospacing="1" w:line="240" w:lineRule="auto"/>
      </w:pPr>
      <w:r>
        <w:rPr>
          <w:rStyle w:val="Strong"/>
        </w:rPr>
        <w:t>Description</w:t>
      </w:r>
      <w:r>
        <w:t>: Proportion of birth intervals less than 24 months.</w:t>
      </w:r>
    </w:p>
    <w:p w:rsidR="00C34B1E" w:rsidRDefault="00C34B1E" w:rsidP="00E371F0">
      <w:pPr>
        <w:numPr>
          <w:ilvl w:val="0"/>
          <w:numId w:val="9"/>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9"/>
        </w:numPr>
        <w:spacing w:before="100" w:beforeAutospacing="1" w:after="100" w:afterAutospacing="1" w:line="240" w:lineRule="auto"/>
      </w:pPr>
      <w:proofErr w:type="spellStart"/>
      <w:r>
        <w:t>NonAPO</w:t>
      </w:r>
      <w:proofErr w:type="spellEnd"/>
      <w:r>
        <w:t>: Proportion = 23.2%.</w:t>
      </w:r>
    </w:p>
    <w:p w:rsidR="00C34B1E" w:rsidRDefault="00C34B1E" w:rsidP="00E371F0">
      <w:pPr>
        <w:numPr>
          <w:ilvl w:val="1"/>
          <w:numId w:val="9"/>
        </w:numPr>
        <w:spacing w:before="100" w:beforeAutospacing="1" w:after="100" w:afterAutospacing="1" w:line="240" w:lineRule="auto"/>
      </w:pPr>
      <w:r>
        <w:t>APO: Proportion = 21.8%.</w:t>
      </w:r>
    </w:p>
    <w:p w:rsidR="00C34B1E" w:rsidRDefault="00C34B1E" w:rsidP="00E371F0">
      <w:pPr>
        <w:numPr>
          <w:ilvl w:val="1"/>
          <w:numId w:val="9"/>
        </w:numPr>
        <w:spacing w:before="100" w:beforeAutospacing="1" w:after="100" w:afterAutospacing="1" w:line="240" w:lineRule="auto"/>
      </w:pPr>
      <w:r>
        <w:t>Difference: -1.4 percentage points (APO women have fewer short intervals).</w:t>
      </w:r>
    </w:p>
    <w:p w:rsidR="00C34B1E" w:rsidRDefault="00C34B1E" w:rsidP="00E371F0">
      <w:pPr>
        <w:numPr>
          <w:ilvl w:val="0"/>
          <w:numId w:val="9"/>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9"/>
        </w:numPr>
        <w:spacing w:before="100" w:beforeAutospacing="1" w:after="100" w:afterAutospacing="1" w:line="240" w:lineRule="auto"/>
      </w:pPr>
      <w:r>
        <w:t>APO women have a lower proportion of short birth intervals (21.8% vs. 23.2%), which is unexpected since short intervals are a known risk factor for APO. This might be due to APO women being more educated and urban, leading to better birth spacing practices.</w:t>
      </w:r>
    </w:p>
    <w:p w:rsidR="00C34B1E" w:rsidRDefault="00C34B1E" w:rsidP="00E371F0">
      <w:pPr>
        <w:numPr>
          <w:ilvl w:val="1"/>
          <w:numId w:val="9"/>
        </w:numPr>
        <w:spacing w:before="100" w:beforeAutospacing="1" w:after="100" w:afterAutospacing="1" w:line="240" w:lineRule="auto"/>
      </w:pPr>
      <w:r>
        <w:rPr>
          <w:rStyle w:val="Strong"/>
        </w:rPr>
        <w:t>Context with 2022 Kenya DHS</w:t>
      </w:r>
      <w:r>
        <w:t>: The DHS doesn’t directly report short intervals, but the median interval of 39 months suggests that short intervals (&lt;24 months) are less common, aligning with our data (21.8%–23.2%).</w:t>
      </w:r>
    </w:p>
    <w:p w:rsidR="00C34B1E" w:rsidRDefault="00C34B1E" w:rsidP="00C34B1E">
      <w:pPr>
        <w:spacing w:after="0"/>
      </w:pPr>
      <w:r>
        <w:pict>
          <v:rect id="_x0000_i1037" style="width:0;height:1.5pt" o:hralign="center" o:hrstd="t" o:hr="t" fillcolor="#a0a0a0" stroked="f"/>
        </w:pict>
      </w:r>
    </w:p>
    <w:p w:rsidR="00C34B1E" w:rsidRDefault="00C34B1E" w:rsidP="00C34B1E">
      <w:pPr>
        <w:pStyle w:val="Heading2"/>
      </w:pPr>
      <w:r>
        <w:t xml:space="preserve">10. Average Tetanus Vaccinations </w:t>
      </w:r>
      <w:proofErr w:type="gramStart"/>
      <w:r>
        <w:t>Before</w:t>
      </w:r>
      <w:proofErr w:type="gramEnd"/>
      <w:r>
        <w:t xml:space="preserve"> Birth (</w:t>
      </w:r>
      <w:proofErr w:type="spellStart"/>
      <w:r>
        <w:rPr>
          <w:rStyle w:val="text-sm"/>
        </w:rPr>
        <w:t>avg_tetanus_before_birth</w:t>
      </w:r>
      <w:proofErr w:type="spellEnd"/>
      <w:r>
        <w:t>)</w:t>
      </w:r>
    </w:p>
    <w:p w:rsidR="00C34B1E" w:rsidRDefault="00C34B1E" w:rsidP="00E371F0">
      <w:pPr>
        <w:numPr>
          <w:ilvl w:val="0"/>
          <w:numId w:val="10"/>
        </w:numPr>
        <w:spacing w:before="100" w:beforeAutospacing="1" w:after="100" w:afterAutospacing="1" w:line="240" w:lineRule="auto"/>
      </w:pPr>
      <w:r>
        <w:rPr>
          <w:rStyle w:val="Strong"/>
        </w:rPr>
        <w:t>Description</w:t>
      </w:r>
      <w:r>
        <w:t>: Average number of tetanus vaccinations received before pregnancy (capped at 5; values &gt; 5 recoded to NA).</w:t>
      </w:r>
    </w:p>
    <w:p w:rsidR="00C34B1E" w:rsidRDefault="00C34B1E" w:rsidP="00E371F0">
      <w:pPr>
        <w:numPr>
          <w:ilvl w:val="0"/>
          <w:numId w:val="10"/>
        </w:numPr>
        <w:spacing w:before="100" w:beforeAutospacing="1" w:after="100" w:afterAutospacing="1" w:line="240" w:lineRule="auto"/>
      </w:pPr>
      <w:r>
        <w:rPr>
          <w:rStyle w:val="Strong"/>
        </w:rPr>
        <w:lastRenderedPageBreak/>
        <w:t>Descriptive Statistics</w:t>
      </w:r>
      <w:r>
        <w:t xml:space="preserve">: </w:t>
      </w:r>
    </w:p>
    <w:p w:rsidR="00C34B1E" w:rsidRDefault="00C34B1E" w:rsidP="00E371F0">
      <w:pPr>
        <w:numPr>
          <w:ilvl w:val="1"/>
          <w:numId w:val="10"/>
        </w:numPr>
        <w:spacing w:before="100" w:beforeAutospacing="1" w:after="100" w:afterAutospacing="1" w:line="240" w:lineRule="auto"/>
      </w:pPr>
      <w:proofErr w:type="spellStart"/>
      <w:r>
        <w:t>NonAPO</w:t>
      </w:r>
      <w:proofErr w:type="spellEnd"/>
      <w:r>
        <w:t>: Mean = 1.27 vaccinations.</w:t>
      </w:r>
    </w:p>
    <w:p w:rsidR="00C34B1E" w:rsidRDefault="00C34B1E" w:rsidP="00E371F0">
      <w:pPr>
        <w:numPr>
          <w:ilvl w:val="1"/>
          <w:numId w:val="10"/>
        </w:numPr>
        <w:spacing w:before="100" w:beforeAutospacing="1" w:after="100" w:afterAutospacing="1" w:line="240" w:lineRule="auto"/>
      </w:pPr>
      <w:r>
        <w:t>APO: Mean = 1.10 vaccinations.</w:t>
      </w:r>
    </w:p>
    <w:p w:rsidR="00C34B1E" w:rsidRDefault="00C34B1E" w:rsidP="00E371F0">
      <w:pPr>
        <w:numPr>
          <w:ilvl w:val="1"/>
          <w:numId w:val="10"/>
        </w:numPr>
        <w:spacing w:before="100" w:beforeAutospacing="1" w:after="100" w:afterAutospacing="1" w:line="240" w:lineRule="auto"/>
      </w:pPr>
      <w:r>
        <w:t>Difference: -0.17 vaccinations (APO women have fewer vaccinations).</w:t>
      </w:r>
    </w:p>
    <w:p w:rsidR="00C34B1E" w:rsidRDefault="00C34B1E" w:rsidP="00E371F0">
      <w:pPr>
        <w:numPr>
          <w:ilvl w:val="0"/>
          <w:numId w:val="10"/>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10"/>
        </w:numPr>
        <w:spacing w:before="100" w:beforeAutospacing="1" w:after="100" w:afterAutospacing="1" w:line="240" w:lineRule="auto"/>
      </w:pPr>
      <w:r>
        <w:t>APO women have fewer tetanus vaccinations before pregnancy (1.10 vs. 1.27), which might indicate lower pre-pregnancy healthcare access or younger age at first birth (less time to receive vaccinations). This could contribute to higher APO risk.</w:t>
      </w:r>
    </w:p>
    <w:p w:rsidR="00C34B1E" w:rsidRDefault="00C34B1E" w:rsidP="00E371F0">
      <w:pPr>
        <w:numPr>
          <w:ilvl w:val="1"/>
          <w:numId w:val="10"/>
        </w:numPr>
        <w:spacing w:before="100" w:beforeAutospacing="1" w:after="100" w:afterAutospacing="1" w:line="240" w:lineRule="auto"/>
      </w:pPr>
      <w:r>
        <w:rPr>
          <w:rStyle w:val="Strong"/>
        </w:rPr>
        <w:t>Context with 2022 Kenya DHS</w:t>
      </w:r>
      <w:r>
        <w:t>: The DHS focuses on tetanus vaccinations during pregnancy, not before, so direct comparison is limited. However, lower pre-pregnancy vaccinations in the APO group might reflect missed opportunities for protection.</w:t>
      </w:r>
    </w:p>
    <w:p w:rsidR="00C34B1E" w:rsidRDefault="00C34B1E" w:rsidP="00C34B1E">
      <w:pPr>
        <w:spacing w:after="0"/>
      </w:pPr>
      <w:r>
        <w:pict>
          <v:rect id="_x0000_i1038" style="width:0;height:1.5pt" o:hralign="center" o:hrstd="t" o:hr="t" fillcolor="#a0a0a0" stroked="f"/>
        </w:pict>
      </w:r>
    </w:p>
    <w:p w:rsidR="00C34B1E" w:rsidRDefault="00C34B1E" w:rsidP="00C34B1E">
      <w:pPr>
        <w:pStyle w:val="Heading2"/>
      </w:pPr>
      <w:r>
        <w:t>11. Age at First Birth (Categorized) (</w:t>
      </w:r>
      <w:proofErr w:type="spellStart"/>
      <w:r>
        <w:rPr>
          <w:rStyle w:val="text-sm"/>
        </w:rPr>
        <w:t>age_at_first_birth_cat</w:t>
      </w:r>
      <w:proofErr w:type="spellEnd"/>
      <w:r>
        <w:t>)</w:t>
      </w:r>
    </w:p>
    <w:p w:rsidR="00C34B1E" w:rsidRDefault="00C34B1E" w:rsidP="00E371F0">
      <w:pPr>
        <w:numPr>
          <w:ilvl w:val="0"/>
          <w:numId w:val="11"/>
        </w:numPr>
        <w:spacing w:before="100" w:beforeAutospacing="1" w:after="100" w:afterAutospacing="1" w:line="240" w:lineRule="auto"/>
      </w:pPr>
      <w:r>
        <w:rPr>
          <w:rStyle w:val="Strong"/>
        </w:rPr>
        <w:t>Description</w:t>
      </w:r>
      <w:r>
        <w:t>: Age at first birth categorized into three groups: Below 19, 19-35, Above 35 (values &lt; 10 or &gt; 50 recoded to NA).</w:t>
      </w:r>
    </w:p>
    <w:p w:rsidR="00C34B1E" w:rsidRDefault="00C34B1E" w:rsidP="00E371F0">
      <w:pPr>
        <w:numPr>
          <w:ilvl w:val="0"/>
          <w:numId w:val="11"/>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11"/>
        </w:numPr>
        <w:spacing w:before="100" w:beforeAutospacing="1" w:after="100" w:afterAutospacing="1" w:line="240" w:lineRule="auto"/>
      </w:pPr>
      <w:proofErr w:type="spellStart"/>
      <w:r>
        <w:t>NonAPO</w:t>
      </w:r>
      <w:proofErr w:type="spellEnd"/>
      <w:r>
        <w:t>: Below 19: 39.7%, 19-35: 60.1%, Above 35: 0.22%.</w:t>
      </w:r>
    </w:p>
    <w:p w:rsidR="00C34B1E" w:rsidRDefault="00C34B1E" w:rsidP="00E371F0">
      <w:pPr>
        <w:numPr>
          <w:ilvl w:val="1"/>
          <w:numId w:val="11"/>
        </w:numPr>
        <w:spacing w:before="100" w:beforeAutospacing="1" w:after="100" w:afterAutospacing="1" w:line="240" w:lineRule="auto"/>
      </w:pPr>
      <w:r>
        <w:t>APO: Below 19: 35.6%, 19-35: 59.4%, Above 35: 0.23%, NA: 4.74%.</w:t>
      </w:r>
    </w:p>
    <w:p w:rsidR="00C34B1E" w:rsidRDefault="00C34B1E" w:rsidP="00E371F0">
      <w:pPr>
        <w:numPr>
          <w:ilvl w:val="1"/>
          <w:numId w:val="11"/>
        </w:numPr>
        <w:spacing w:before="100" w:beforeAutospacing="1" w:after="100" w:afterAutospacing="1" w:line="240" w:lineRule="auto"/>
      </w:pPr>
      <w:r>
        <w:t xml:space="preserve">Difference: </w:t>
      </w:r>
      <w:proofErr w:type="spellStart"/>
      <w:r>
        <w:t>NonAPO</w:t>
      </w:r>
      <w:proofErr w:type="spellEnd"/>
      <w:r>
        <w:t xml:space="preserve"> women have a higher proportion in "Below 19" (+4.1 percentage points).</w:t>
      </w:r>
    </w:p>
    <w:p w:rsidR="00C34B1E" w:rsidRDefault="00C34B1E" w:rsidP="00E371F0">
      <w:pPr>
        <w:numPr>
          <w:ilvl w:val="0"/>
          <w:numId w:val="11"/>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11"/>
        </w:numPr>
        <w:spacing w:before="100" w:beforeAutospacing="1" w:after="100" w:afterAutospacing="1" w:line="240" w:lineRule="auto"/>
      </w:pPr>
      <w:r>
        <w:t xml:space="preserve">Counterintuitively, </w:t>
      </w:r>
      <w:proofErr w:type="spellStart"/>
      <w:r>
        <w:t>NonAPO</w:t>
      </w:r>
      <w:proofErr w:type="spellEnd"/>
      <w:r>
        <w:t xml:space="preserve"> women have a higher proportion of first births before age 19 (39.7% vs. 35.6%), despite younger age at first birth being a known risk factor for APO. This might be due to confounding (e.g., rural </w:t>
      </w:r>
      <w:proofErr w:type="spellStart"/>
      <w:r>
        <w:t>NonAPO</w:t>
      </w:r>
      <w:proofErr w:type="spellEnd"/>
      <w:r>
        <w:t xml:space="preserve"> women having earlier first births) or the small difference (4.1%) not being practically significant.</w:t>
      </w:r>
    </w:p>
    <w:p w:rsidR="00C34B1E" w:rsidRDefault="00C34B1E" w:rsidP="00E371F0">
      <w:pPr>
        <w:numPr>
          <w:ilvl w:val="1"/>
          <w:numId w:val="11"/>
        </w:numPr>
        <w:spacing w:before="100" w:beforeAutospacing="1" w:after="100" w:afterAutospacing="1" w:line="240" w:lineRule="auto"/>
      </w:pPr>
      <w:r>
        <w:rPr>
          <w:rStyle w:val="Strong"/>
        </w:rPr>
        <w:t>Context with 2022 Kenya DHS</w:t>
      </w:r>
      <w:r>
        <w:t>: The DHS reports a teenage pregnancy rate of 15% (down from 18% in 2014), but our data shows a higher proportion of first births before 19 (35.6%–39.7%), likely because our sample focuses on women with pregnancy outcomes, excluding those who have never been pregnant.</w:t>
      </w:r>
    </w:p>
    <w:p w:rsidR="00C34B1E" w:rsidRDefault="00C34B1E" w:rsidP="00C34B1E">
      <w:pPr>
        <w:spacing w:after="0"/>
      </w:pPr>
      <w:r>
        <w:pict>
          <v:rect id="_x0000_i1039" style="width:0;height:1.5pt" o:hralign="center" o:hrstd="t" o:hr="t" fillcolor="#a0a0a0" stroked="f"/>
        </w:pict>
      </w:r>
    </w:p>
    <w:p w:rsidR="00C34B1E" w:rsidRDefault="00C34B1E" w:rsidP="00C34B1E">
      <w:pPr>
        <w:pStyle w:val="Heading2"/>
      </w:pPr>
      <w:r>
        <w:t xml:space="preserve">12. Abused </w:t>
      </w:r>
      <w:proofErr w:type="gramStart"/>
      <w:r>
        <w:t>During</w:t>
      </w:r>
      <w:proofErr w:type="gramEnd"/>
      <w:r>
        <w:t xml:space="preserve"> Pregnancy (</w:t>
      </w:r>
      <w:proofErr w:type="spellStart"/>
      <w:r>
        <w:rPr>
          <w:rStyle w:val="text-sm"/>
        </w:rPr>
        <w:t>abused_during_pregnancy</w:t>
      </w:r>
      <w:proofErr w:type="spellEnd"/>
      <w:r>
        <w:t>)</w:t>
      </w:r>
    </w:p>
    <w:p w:rsidR="00C34B1E" w:rsidRDefault="00C34B1E" w:rsidP="00E371F0">
      <w:pPr>
        <w:numPr>
          <w:ilvl w:val="0"/>
          <w:numId w:val="12"/>
        </w:numPr>
        <w:spacing w:before="100" w:beforeAutospacing="1" w:after="100" w:afterAutospacing="1" w:line="240" w:lineRule="auto"/>
      </w:pPr>
      <w:r>
        <w:rPr>
          <w:rStyle w:val="Strong"/>
        </w:rPr>
        <w:t>Description</w:t>
      </w:r>
      <w:r>
        <w:t>: Whether the woman experienced abuse during pregnancy (binary: No, Yes; aggregated from multiple pregnancies).</w:t>
      </w:r>
    </w:p>
    <w:p w:rsidR="00C34B1E" w:rsidRDefault="00C34B1E" w:rsidP="00E371F0">
      <w:pPr>
        <w:numPr>
          <w:ilvl w:val="0"/>
          <w:numId w:val="12"/>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12"/>
        </w:numPr>
        <w:spacing w:before="100" w:beforeAutospacing="1" w:after="100" w:afterAutospacing="1" w:line="240" w:lineRule="auto"/>
      </w:pPr>
      <w:proofErr w:type="spellStart"/>
      <w:r>
        <w:t>NonAPO</w:t>
      </w:r>
      <w:proofErr w:type="spellEnd"/>
      <w:r>
        <w:t>: No: 3.26%, Yes: 55.1%, NA: 41.6%.</w:t>
      </w:r>
    </w:p>
    <w:p w:rsidR="00C34B1E" w:rsidRDefault="00C34B1E" w:rsidP="00E371F0">
      <w:pPr>
        <w:numPr>
          <w:ilvl w:val="1"/>
          <w:numId w:val="12"/>
        </w:numPr>
        <w:spacing w:before="100" w:beforeAutospacing="1" w:after="100" w:afterAutospacing="1" w:line="240" w:lineRule="auto"/>
      </w:pPr>
      <w:r>
        <w:t>APO: No: 5.27%, Yes: 51.0%, NA: 43.8%.</w:t>
      </w:r>
    </w:p>
    <w:p w:rsidR="00C34B1E" w:rsidRDefault="00C34B1E" w:rsidP="00E371F0">
      <w:pPr>
        <w:numPr>
          <w:ilvl w:val="1"/>
          <w:numId w:val="12"/>
        </w:numPr>
        <w:spacing w:before="100" w:beforeAutospacing="1" w:after="100" w:afterAutospacing="1" w:line="240" w:lineRule="auto"/>
      </w:pPr>
      <w:r>
        <w:t xml:space="preserve">Difference: </w:t>
      </w:r>
      <w:proofErr w:type="spellStart"/>
      <w:r>
        <w:t>NonAPO</w:t>
      </w:r>
      <w:proofErr w:type="spellEnd"/>
      <w:r>
        <w:t xml:space="preserve"> women report more abuse (+4.1 percentage points).</w:t>
      </w:r>
    </w:p>
    <w:p w:rsidR="00C34B1E" w:rsidRDefault="00C34B1E" w:rsidP="00E371F0">
      <w:pPr>
        <w:numPr>
          <w:ilvl w:val="0"/>
          <w:numId w:val="12"/>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12"/>
        </w:numPr>
        <w:spacing w:before="100" w:beforeAutospacing="1" w:after="100" w:afterAutospacing="1" w:line="240" w:lineRule="auto"/>
      </w:pPr>
      <w:r>
        <w:t xml:space="preserve">Counterintuitively, </w:t>
      </w:r>
      <w:proofErr w:type="spellStart"/>
      <w:r>
        <w:t>NonAPO</w:t>
      </w:r>
      <w:proofErr w:type="spellEnd"/>
      <w:r>
        <w:t xml:space="preserve"> women report more abuse during pregnancy (55.1% vs. 51.0%), despite abuse being a known risk factor for APO. The high proportion of missing data (41.6%–43.8%) might bias results, as APO women might underreport abuse due to trauma or stigma.</w:t>
      </w:r>
    </w:p>
    <w:p w:rsidR="00C34B1E" w:rsidRDefault="00C34B1E" w:rsidP="00E371F0">
      <w:pPr>
        <w:numPr>
          <w:ilvl w:val="1"/>
          <w:numId w:val="12"/>
        </w:numPr>
        <w:spacing w:before="100" w:beforeAutospacing="1" w:after="100" w:afterAutospacing="1" w:line="240" w:lineRule="auto"/>
      </w:pPr>
      <w:r>
        <w:rPr>
          <w:rStyle w:val="Strong"/>
        </w:rPr>
        <w:lastRenderedPageBreak/>
        <w:t>Context with 2022 Kenya DHS</w:t>
      </w:r>
      <w:r>
        <w:t>: The DHS reports that 34% of women experienced physical violence since age 15, but our data shows higher rates (51.0%–55.1%), possibly because we’re capturing abuse specifically during pregnancy, which might be more prevalent or better recalled.</w:t>
      </w:r>
    </w:p>
    <w:p w:rsidR="00C34B1E" w:rsidRDefault="00C34B1E" w:rsidP="00C34B1E">
      <w:pPr>
        <w:spacing w:after="0"/>
      </w:pPr>
      <w:r>
        <w:pict>
          <v:rect id="_x0000_i1040" style="width:0;height:1.5pt" o:hralign="center" o:hrstd="t" o:hr="t" fillcolor="#a0a0a0" stroked="f"/>
        </w:pict>
      </w:r>
    </w:p>
    <w:p w:rsidR="00C34B1E" w:rsidRDefault="00C34B1E" w:rsidP="00C34B1E">
      <w:pPr>
        <w:pStyle w:val="Heading2"/>
      </w:pPr>
      <w:r>
        <w:t>13. Average Size of Child (</w:t>
      </w:r>
      <w:proofErr w:type="spellStart"/>
      <w:r>
        <w:rPr>
          <w:rStyle w:val="text-sm"/>
        </w:rPr>
        <w:t>avg_size_of_child</w:t>
      </w:r>
      <w:proofErr w:type="spellEnd"/>
      <w:r>
        <w:t>)</w:t>
      </w:r>
    </w:p>
    <w:p w:rsidR="00C34B1E" w:rsidRDefault="00C34B1E" w:rsidP="00E371F0">
      <w:pPr>
        <w:numPr>
          <w:ilvl w:val="0"/>
          <w:numId w:val="13"/>
        </w:numPr>
        <w:spacing w:before="100" w:beforeAutospacing="1" w:after="100" w:afterAutospacing="1" w:line="240" w:lineRule="auto"/>
      </w:pPr>
      <w:r>
        <w:rPr>
          <w:rStyle w:val="Strong"/>
        </w:rPr>
        <w:t>Description</w:t>
      </w:r>
      <w:r>
        <w:t>: Average perceived size of children across all births (1 = Very Small, 5 = Very Large; values outside 1–5 recoded to NA).</w:t>
      </w:r>
    </w:p>
    <w:p w:rsidR="00C34B1E" w:rsidRDefault="00C34B1E" w:rsidP="00E371F0">
      <w:pPr>
        <w:numPr>
          <w:ilvl w:val="0"/>
          <w:numId w:val="13"/>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13"/>
        </w:numPr>
        <w:spacing w:before="100" w:beforeAutospacing="1" w:after="100" w:afterAutospacing="1" w:line="240" w:lineRule="auto"/>
      </w:pPr>
      <w:r>
        <w:t>Summary: Min = 1, 1st Qu. = 3, Median = 3, Mean = 2.971, 3rd Qu. = 3, Max = 5, NA’s = 18,159 (77.9% of 23,317 women).</w:t>
      </w:r>
    </w:p>
    <w:p w:rsidR="00C34B1E" w:rsidRDefault="00C34B1E" w:rsidP="00E371F0">
      <w:pPr>
        <w:numPr>
          <w:ilvl w:val="1"/>
          <w:numId w:val="13"/>
        </w:numPr>
        <w:spacing w:before="100" w:beforeAutospacing="1" w:after="100" w:afterAutospacing="1" w:line="240" w:lineRule="auto"/>
      </w:pPr>
      <w:proofErr w:type="spellStart"/>
      <w:r>
        <w:t>NonAPO</w:t>
      </w:r>
      <w:proofErr w:type="spellEnd"/>
      <w:r>
        <w:t>: Mean = 2.96.</w:t>
      </w:r>
    </w:p>
    <w:p w:rsidR="00C34B1E" w:rsidRDefault="00C34B1E" w:rsidP="00E371F0">
      <w:pPr>
        <w:numPr>
          <w:ilvl w:val="1"/>
          <w:numId w:val="13"/>
        </w:numPr>
        <w:spacing w:before="100" w:beforeAutospacing="1" w:after="100" w:afterAutospacing="1" w:line="240" w:lineRule="auto"/>
      </w:pPr>
      <w:r>
        <w:t>APO: Mean = 3.02.</w:t>
      </w:r>
    </w:p>
    <w:p w:rsidR="00C34B1E" w:rsidRDefault="00C34B1E" w:rsidP="00E371F0">
      <w:pPr>
        <w:numPr>
          <w:ilvl w:val="1"/>
          <w:numId w:val="13"/>
        </w:numPr>
        <w:spacing w:before="100" w:beforeAutospacing="1" w:after="100" w:afterAutospacing="1" w:line="240" w:lineRule="auto"/>
      </w:pPr>
      <w:r>
        <w:t>Difference: +0.06 (APO women have slightly larger children).</w:t>
      </w:r>
    </w:p>
    <w:p w:rsidR="00C34B1E" w:rsidRDefault="00C34B1E" w:rsidP="00E371F0">
      <w:pPr>
        <w:numPr>
          <w:ilvl w:val="0"/>
          <w:numId w:val="13"/>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13"/>
        </w:numPr>
        <w:spacing w:before="100" w:beforeAutospacing="1" w:after="100" w:afterAutospacing="1" w:line="240" w:lineRule="auto"/>
      </w:pPr>
      <w:r>
        <w:t xml:space="preserve">Counterintuitively, APO women have a slightly higher average child size (3.02 vs. 2.96), despite smaller child size (e.g., low birth weight) being a component of APO. The difference (0.06) is very small and likely not practically significant. The high proportion of missing data (77.9%) limits reliability, as </w:t>
      </w:r>
      <w:proofErr w:type="spellStart"/>
      <w:r>
        <w:t>missingness</w:t>
      </w:r>
      <w:proofErr w:type="spellEnd"/>
      <w:r>
        <w:t xml:space="preserve"> might be non-random (e.g., rural women less likely to report).</w:t>
      </w:r>
    </w:p>
    <w:p w:rsidR="00C34B1E" w:rsidRDefault="00C34B1E" w:rsidP="00E371F0">
      <w:pPr>
        <w:numPr>
          <w:ilvl w:val="1"/>
          <w:numId w:val="13"/>
        </w:numPr>
        <w:spacing w:before="100" w:beforeAutospacing="1" w:after="100" w:afterAutospacing="1" w:line="240" w:lineRule="auto"/>
      </w:pPr>
      <w:r>
        <w:rPr>
          <w:rStyle w:val="Strong"/>
        </w:rPr>
        <w:t>Context with 2022 Kenya DHS</w:t>
      </w:r>
      <w:r>
        <w:t>: The DHS reports that 7% of births are low birth weight (&lt;2.5 kg), but our data uses perceived size (1–5 scale), not weight, and averages across all births, which might dilute the effect of low birth weight in APO cases.</w:t>
      </w:r>
    </w:p>
    <w:p w:rsidR="00C34B1E" w:rsidRDefault="00C34B1E" w:rsidP="00C34B1E">
      <w:pPr>
        <w:spacing w:after="0"/>
      </w:pPr>
      <w:r>
        <w:pict>
          <v:rect id="_x0000_i1041" style="width:0;height:1.5pt" o:hralign="center" o:hrstd="t" o:hr="t" fillcolor="#a0a0a0" stroked="f"/>
        </w:pict>
      </w:r>
    </w:p>
    <w:p w:rsidR="00C34B1E" w:rsidRDefault="00C34B1E" w:rsidP="00C34B1E">
      <w:pPr>
        <w:pStyle w:val="Heading2"/>
      </w:pPr>
      <w:r>
        <w:t>14. Total Pregnancies (</w:t>
      </w:r>
      <w:proofErr w:type="spellStart"/>
      <w:r>
        <w:rPr>
          <w:rStyle w:val="text-sm"/>
        </w:rPr>
        <w:t>total_pregnancies</w:t>
      </w:r>
      <w:proofErr w:type="spellEnd"/>
      <w:r>
        <w:t>)</w:t>
      </w:r>
    </w:p>
    <w:p w:rsidR="00C34B1E" w:rsidRDefault="00C34B1E" w:rsidP="00E371F0">
      <w:pPr>
        <w:numPr>
          <w:ilvl w:val="0"/>
          <w:numId w:val="14"/>
        </w:numPr>
        <w:spacing w:before="100" w:beforeAutospacing="1" w:after="100" w:afterAutospacing="1" w:line="240" w:lineRule="auto"/>
      </w:pPr>
      <w:r>
        <w:rPr>
          <w:rStyle w:val="Strong"/>
        </w:rPr>
        <w:t>Description</w:t>
      </w:r>
      <w:r>
        <w:t>: Total number of pregnancies (including live births, stillbirths, miscarriages, abortions).</w:t>
      </w:r>
    </w:p>
    <w:p w:rsidR="00C34B1E" w:rsidRDefault="00C34B1E" w:rsidP="00E371F0">
      <w:pPr>
        <w:numPr>
          <w:ilvl w:val="0"/>
          <w:numId w:val="14"/>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14"/>
        </w:numPr>
        <w:spacing w:before="100" w:beforeAutospacing="1" w:after="100" w:afterAutospacing="1" w:line="240" w:lineRule="auto"/>
      </w:pPr>
      <w:r>
        <w:t>Summary: Min = 1, 1st Qu. = 2, Median = 3, Mean = 3.534, 3rd Qu. = 5, Max = 16.</w:t>
      </w:r>
    </w:p>
    <w:p w:rsidR="00C34B1E" w:rsidRDefault="00C34B1E" w:rsidP="00E371F0">
      <w:pPr>
        <w:numPr>
          <w:ilvl w:val="1"/>
          <w:numId w:val="14"/>
        </w:numPr>
        <w:spacing w:before="100" w:beforeAutospacing="1" w:after="100" w:afterAutospacing="1" w:line="240" w:lineRule="auto"/>
      </w:pPr>
      <w:proofErr w:type="spellStart"/>
      <w:r>
        <w:t>NonAPO</w:t>
      </w:r>
      <w:proofErr w:type="spellEnd"/>
      <w:r>
        <w:t>: Mean = 3.26 pregnancies.</w:t>
      </w:r>
    </w:p>
    <w:p w:rsidR="00C34B1E" w:rsidRDefault="00C34B1E" w:rsidP="00E371F0">
      <w:pPr>
        <w:numPr>
          <w:ilvl w:val="1"/>
          <w:numId w:val="14"/>
        </w:numPr>
        <w:spacing w:before="100" w:beforeAutospacing="1" w:after="100" w:afterAutospacing="1" w:line="240" w:lineRule="auto"/>
      </w:pPr>
      <w:r>
        <w:t>APO: Mean = 4.87 pregnancies.</w:t>
      </w:r>
    </w:p>
    <w:p w:rsidR="00C34B1E" w:rsidRDefault="00C34B1E" w:rsidP="00E371F0">
      <w:pPr>
        <w:numPr>
          <w:ilvl w:val="1"/>
          <w:numId w:val="14"/>
        </w:numPr>
        <w:spacing w:before="100" w:beforeAutospacing="1" w:after="100" w:afterAutospacing="1" w:line="240" w:lineRule="auto"/>
      </w:pPr>
      <w:r>
        <w:t>Difference: +1.61 pregnancies (APO women have more pregnancies).</w:t>
      </w:r>
    </w:p>
    <w:p w:rsidR="00C34B1E" w:rsidRDefault="00C34B1E" w:rsidP="00E371F0">
      <w:pPr>
        <w:numPr>
          <w:ilvl w:val="0"/>
          <w:numId w:val="14"/>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14"/>
        </w:numPr>
        <w:spacing w:before="100" w:beforeAutospacing="1" w:after="100" w:afterAutospacing="1" w:line="240" w:lineRule="auto"/>
      </w:pPr>
      <w:r>
        <w:t xml:space="preserve">APO women have more pregnancies (4.87 vs. 3.26), which aligns with expectations: each pregnancy is an opportunity for an adverse outcome, increasing APO risk. The difference (1.61) is substantial and suggests that </w:t>
      </w:r>
      <w:proofErr w:type="spellStart"/>
      <w:r>
        <w:rPr>
          <w:rStyle w:val="text-sm"/>
        </w:rPr>
        <w:t>total_pregnancies</w:t>
      </w:r>
      <w:proofErr w:type="spellEnd"/>
      <w:r>
        <w:t xml:space="preserve"> is a strong predictor of APO.</w:t>
      </w:r>
    </w:p>
    <w:p w:rsidR="00C34B1E" w:rsidRDefault="00C34B1E" w:rsidP="00E371F0">
      <w:pPr>
        <w:numPr>
          <w:ilvl w:val="1"/>
          <w:numId w:val="14"/>
        </w:numPr>
        <w:spacing w:before="100" w:beforeAutospacing="1" w:after="100" w:afterAutospacing="1" w:line="240" w:lineRule="auto"/>
      </w:pPr>
      <w:r>
        <w:rPr>
          <w:rStyle w:val="Strong"/>
        </w:rPr>
        <w:t>Context with 2022 Kenya DHS</w:t>
      </w:r>
      <w:r>
        <w:t>: The DHS reports a total fertility rate of 3.4 children per woman, but our data includes all pregnancies (not just live births), explaining the higher mean (3.534). The higher number in the APO group supports the exposure hypothesis.</w:t>
      </w:r>
    </w:p>
    <w:p w:rsidR="00C34B1E" w:rsidRDefault="00C34B1E" w:rsidP="00C34B1E">
      <w:pPr>
        <w:spacing w:after="0"/>
      </w:pPr>
      <w:r>
        <w:pict>
          <v:rect id="_x0000_i1042" style="width:0;height:1.5pt" o:hralign="center" o:hrstd="t" o:hr="t" fillcolor="#a0a0a0" stroked="f"/>
        </w:pict>
      </w:r>
    </w:p>
    <w:p w:rsidR="00C34B1E" w:rsidRDefault="00C34B1E" w:rsidP="00C34B1E">
      <w:pPr>
        <w:pStyle w:val="Heading2"/>
      </w:pPr>
      <w:r>
        <w:lastRenderedPageBreak/>
        <w:t>15. Current Contraceptive Method (</w:t>
      </w:r>
      <w:proofErr w:type="spellStart"/>
      <w:r>
        <w:rPr>
          <w:rStyle w:val="text-sm"/>
        </w:rPr>
        <w:t>contraceptive_category</w:t>
      </w:r>
      <w:proofErr w:type="spellEnd"/>
      <w:r>
        <w:t>)</w:t>
      </w:r>
    </w:p>
    <w:p w:rsidR="00C34B1E" w:rsidRDefault="00C34B1E" w:rsidP="00E371F0">
      <w:pPr>
        <w:numPr>
          <w:ilvl w:val="0"/>
          <w:numId w:val="15"/>
        </w:numPr>
        <w:spacing w:before="100" w:beforeAutospacing="1" w:after="100" w:afterAutospacing="1" w:line="240" w:lineRule="auto"/>
      </w:pPr>
      <w:r>
        <w:rPr>
          <w:rStyle w:val="Strong"/>
        </w:rPr>
        <w:t>Description</w:t>
      </w:r>
      <w:r>
        <w:t>: Current contraceptive method categorized into None, Modern, Traditional, Other (based on 2022 Kenya DHS coding).</w:t>
      </w:r>
    </w:p>
    <w:p w:rsidR="00C34B1E" w:rsidRDefault="00C34B1E" w:rsidP="00E371F0">
      <w:pPr>
        <w:numPr>
          <w:ilvl w:val="0"/>
          <w:numId w:val="15"/>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15"/>
        </w:numPr>
        <w:spacing w:before="100" w:beforeAutospacing="1" w:after="100" w:afterAutospacing="1" w:line="240" w:lineRule="auto"/>
      </w:pPr>
      <w:proofErr w:type="spellStart"/>
      <w:r>
        <w:t>NonAPO</w:t>
      </w:r>
      <w:proofErr w:type="spellEnd"/>
      <w:r>
        <w:t>: None: 46.3%, Modern: 48.7%, Traditional: 4.96%.</w:t>
      </w:r>
    </w:p>
    <w:p w:rsidR="00C34B1E" w:rsidRDefault="00C34B1E" w:rsidP="00E371F0">
      <w:pPr>
        <w:numPr>
          <w:ilvl w:val="1"/>
          <w:numId w:val="15"/>
        </w:numPr>
        <w:spacing w:before="100" w:beforeAutospacing="1" w:after="100" w:afterAutospacing="1" w:line="240" w:lineRule="auto"/>
      </w:pPr>
      <w:r>
        <w:t>APO: None: 51.9%, Modern: 41.5%, Traditional: 6.59%.</w:t>
      </w:r>
    </w:p>
    <w:p w:rsidR="00C34B1E" w:rsidRDefault="00C34B1E" w:rsidP="00E371F0">
      <w:pPr>
        <w:numPr>
          <w:ilvl w:val="1"/>
          <w:numId w:val="15"/>
        </w:numPr>
        <w:spacing w:before="100" w:beforeAutospacing="1" w:after="100" w:afterAutospacing="1" w:line="240" w:lineRule="auto"/>
      </w:pPr>
      <w:r>
        <w:t>Difference: APO women have higher non-use (+5.6 percentage points) and lower modern method use (-7.2 percentage points).</w:t>
      </w:r>
    </w:p>
    <w:p w:rsidR="00C34B1E" w:rsidRDefault="00C34B1E" w:rsidP="00E371F0">
      <w:pPr>
        <w:numPr>
          <w:ilvl w:val="0"/>
          <w:numId w:val="15"/>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15"/>
        </w:numPr>
        <w:spacing w:before="100" w:beforeAutospacing="1" w:after="100" w:afterAutospacing="1" w:line="240" w:lineRule="auto"/>
      </w:pPr>
      <w:r>
        <w:t>APO women are more likely to use no method (51.9% vs. 46.3%) and less likely to use modern methods (41.5% vs. 48.7%), which aligns with expectations: lack of effective contraception can lead to unintended pregnancies, increasing APO risk. The slightly higher use of traditional methods in the APO group (6.59% vs. 4.96%) might also contribute, as traditional methods are less effective.</w:t>
      </w:r>
    </w:p>
    <w:p w:rsidR="00C34B1E" w:rsidRDefault="00C34B1E" w:rsidP="00E371F0">
      <w:pPr>
        <w:numPr>
          <w:ilvl w:val="1"/>
          <w:numId w:val="15"/>
        </w:numPr>
        <w:spacing w:before="100" w:beforeAutospacing="1" w:after="100" w:afterAutospacing="1" w:line="240" w:lineRule="auto"/>
      </w:pPr>
      <w:r>
        <w:rPr>
          <w:rStyle w:val="Strong"/>
        </w:rPr>
        <w:t>Context with 2022 Kenya DHS</w:t>
      </w:r>
      <w:r>
        <w:t>: The DHS reports that among married women, 57% use modern methods, 5% use traditional methods, and 38% use no method. Our sample shows lower modern method use (41.5%–48.7%) and higher non-use (46.3%–51.9%), likely because it includes all women (not just married) and reflects higher unmet need (14% among married women per DHS).</w:t>
      </w:r>
    </w:p>
    <w:p w:rsidR="00C34B1E" w:rsidRDefault="00C34B1E" w:rsidP="00C34B1E">
      <w:pPr>
        <w:spacing w:after="0"/>
      </w:pPr>
      <w:r>
        <w:pict>
          <v:rect id="_x0000_i1043" style="width:0;height:1.5pt" o:hralign="center" o:hrstd="t" o:hr="t" fillcolor="#a0a0a0" stroked="f"/>
        </w:pict>
      </w:r>
    </w:p>
    <w:p w:rsidR="00C34B1E" w:rsidRDefault="00C34B1E" w:rsidP="00C34B1E">
      <w:pPr>
        <w:pStyle w:val="Heading2"/>
      </w:pPr>
      <w:r>
        <w:t>16. Respondent Circumcised (</w:t>
      </w:r>
      <w:proofErr w:type="spellStart"/>
      <w:r>
        <w:rPr>
          <w:rStyle w:val="text-sm"/>
        </w:rPr>
        <w:t>respondent_circumcised</w:t>
      </w:r>
      <w:proofErr w:type="spellEnd"/>
      <w:r>
        <w:t>)</w:t>
      </w:r>
    </w:p>
    <w:p w:rsidR="00C34B1E" w:rsidRDefault="00C34B1E" w:rsidP="00E371F0">
      <w:pPr>
        <w:numPr>
          <w:ilvl w:val="0"/>
          <w:numId w:val="16"/>
        </w:numPr>
        <w:spacing w:before="100" w:beforeAutospacing="1" w:after="100" w:afterAutospacing="1" w:line="240" w:lineRule="auto"/>
      </w:pPr>
      <w:r>
        <w:rPr>
          <w:rStyle w:val="Strong"/>
        </w:rPr>
        <w:t>Description</w:t>
      </w:r>
      <w:r>
        <w:t>: Whether the respondent has undergone female circumcision (FGM/C) (binary: No, Yes).</w:t>
      </w:r>
    </w:p>
    <w:p w:rsidR="00C34B1E" w:rsidRDefault="00C34B1E" w:rsidP="00E371F0">
      <w:pPr>
        <w:numPr>
          <w:ilvl w:val="0"/>
          <w:numId w:val="16"/>
        </w:numPr>
        <w:spacing w:before="100" w:beforeAutospacing="1" w:after="100" w:afterAutospacing="1" w:line="240" w:lineRule="auto"/>
      </w:pPr>
      <w:r>
        <w:rPr>
          <w:rStyle w:val="Strong"/>
        </w:rPr>
        <w:t>Descriptive Statistics</w:t>
      </w:r>
      <w:r>
        <w:t xml:space="preserve">: </w:t>
      </w:r>
    </w:p>
    <w:p w:rsidR="00C34B1E" w:rsidRDefault="00C34B1E" w:rsidP="00E371F0">
      <w:pPr>
        <w:numPr>
          <w:ilvl w:val="1"/>
          <w:numId w:val="16"/>
        </w:numPr>
        <w:spacing w:before="100" w:beforeAutospacing="1" w:after="100" w:afterAutospacing="1" w:line="240" w:lineRule="auto"/>
      </w:pPr>
      <w:proofErr w:type="spellStart"/>
      <w:r>
        <w:t>NonAPO</w:t>
      </w:r>
      <w:proofErr w:type="spellEnd"/>
      <w:r>
        <w:t>: NA: 100%.</w:t>
      </w:r>
    </w:p>
    <w:p w:rsidR="00C34B1E" w:rsidRDefault="00C34B1E" w:rsidP="00E371F0">
      <w:pPr>
        <w:numPr>
          <w:ilvl w:val="1"/>
          <w:numId w:val="16"/>
        </w:numPr>
        <w:spacing w:before="100" w:beforeAutospacing="1" w:after="100" w:afterAutospacing="1" w:line="240" w:lineRule="auto"/>
      </w:pPr>
      <w:r>
        <w:t>APO: NA: 100%.</w:t>
      </w:r>
    </w:p>
    <w:p w:rsidR="00C34B1E" w:rsidRDefault="00C34B1E" w:rsidP="00E371F0">
      <w:pPr>
        <w:numPr>
          <w:ilvl w:val="0"/>
          <w:numId w:val="16"/>
        </w:numPr>
        <w:spacing w:before="100" w:beforeAutospacing="1" w:after="100" w:afterAutospacing="1" w:line="240" w:lineRule="auto"/>
      </w:pPr>
      <w:r>
        <w:rPr>
          <w:rStyle w:val="Strong"/>
        </w:rPr>
        <w:t>Interpretation</w:t>
      </w:r>
      <w:r>
        <w:t xml:space="preserve">: </w:t>
      </w:r>
    </w:p>
    <w:p w:rsidR="00C34B1E" w:rsidRDefault="00C34B1E" w:rsidP="00E371F0">
      <w:pPr>
        <w:numPr>
          <w:ilvl w:val="1"/>
          <w:numId w:val="16"/>
        </w:numPr>
        <w:spacing w:before="100" w:beforeAutospacing="1" w:after="100" w:afterAutospacing="1" w:line="240" w:lineRule="auto"/>
      </w:pPr>
      <w:r>
        <w:t>The variable is entirely missing (100% NA), so it cannot be analyzed or included in the model. This is a limitation, as FGM/C is a known risk factor for APO in Kenya, where prevalence is 21% among women aged 15–49 (2022 Kenya DHS). The absence of data might be due to non-collection in the survey or high non-response due to sensitivity.</w:t>
      </w:r>
    </w:p>
    <w:p w:rsidR="00C34B1E" w:rsidRDefault="00C34B1E" w:rsidP="00E371F0">
      <w:pPr>
        <w:numPr>
          <w:ilvl w:val="1"/>
          <w:numId w:val="16"/>
        </w:numPr>
        <w:spacing w:before="100" w:beforeAutospacing="1" w:after="100" w:afterAutospacing="1" w:line="240" w:lineRule="auto"/>
      </w:pPr>
      <w:r>
        <w:rPr>
          <w:rStyle w:val="Strong"/>
        </w:rPr>
        <w:t>Context with 2022 Kenya DHS</w:t>
      </w:r>
      <w:r>
        <w:t>: The DHS reports that 21% of women have undergone FGM/C, with higher prevalence in rural areas (24% vs. 15% urban). Our inability to analyze this variable means we miss a potential predictor of APO.</w:t>
      </w:r>
    </w:p>
    <w:p w:rsidR="00C34B1E" w:rsidRDefault="00C34B1E" w:rsidP="00C34B1E">
      <w:pPr>
        <w:spacing w:after="0"/>
      </w:pPr>
      <w:r>
        <w:pict>
          <v:rect id="_x0000_i1044" style="width:0;height:1.5pt" o:hralign="center" o:hrstd="t" o:hr="t" fillcolor="#a0a0a0" stroked="f"/>
        </w:pict>
      </w:r>
    </w:p>
    <w:p w:rsidR="00C34B1E" w:rsidRDefault="00C34B1E" w:rsidP="00C34B1E">
      <w:pPr>
        <w:pStyle w:val="Heading2"/>
      </w:pPr>
      <w:r>
        <w:t>Overall Discussion</w:t>
      </w:r>
    </w:p>
    <w:p w:rsidR="00C34B1E" w:rsidRDefault="00C34B1E" w:rsidP="00E371F0">
      <w:pPr>
        <w:numPr>
          <w:ilvl w:val="0"/>
          <w:numId w:val="17"/>
        </w:numPr>
        <w:spacing w:before="100" w:beforeAutospacing="1" w:after="100" w:afterAutospacing="1" w:line="240" w:lineRule="auto"/>
      </w:pPr>
      <w:r>
        <w:rPr>
          <w:rStyle w:val="Strong"/>
        </w:rPr>
        <w:t>Expected Patterns</w:t>
      </w:r>
      <w:r>
        <w:t xml:space="preserve">: </w:t>
      </w:r>
    </w:p>
    <w:p w:rsidR="00C34B1E" w:rsidRDefault="00C34B1E" w:rsidP="00E371F0">
      <w:pPr>
        <w:numPr>
          <w:ilvl w:val="1"/>
          <w:numId w:val="17"/>
        </w:numPr>
        <w:spacing w:before="100" w:beforeAutospacing="1" w:after="100" w:afterAutospacing="1" w:line="240" w:lineRule="auto"/>
      </w:pPr>
      <w:r>
        <w:t xml:space="preserve">Predictors like </w:t>
      </w:r>
      <w:proofErr w:type="spellStart"/>
      <w:r>
        <w:rPr>
          <w:rStyle w:val="text-sm"/>
        </w:rPr>
        <w:t>total_pregnancies</w:t>
      </w:r>
      <w:proofErr w:type="spellEnd"/>
      <w:r>
        <w:t xml:space="preserve"> (more pregnancies in APO), </w:t>
      </w:r>
      <w:proofErr w:type="spellStart"/>
      <w:r>
        <w:rPr>
          <w:rStyle w:val="text-sm"/>
        </w:rPr>
        <w:t>prop_cesarean</w:t>
      </w:r>
      <w:proofErr w:type="spellEnd"/>
      <w:r>
        <w:t xml:space="preserve"> (higher in APO), and </w:t>
      </w:r>
      <w:proofErr w:type="spellStart"/>
      <w:r>
        <w:rPr>
          <w:rStyle w:val="text-sm"/>
        </w:rPr>
        <w:t>contraceptive_category</w:t>
      </w:r>
      <w:proofErr w:type="spellEnd"/>
      <w:r>
        <w:t xml:space="preserve"> (higher non-use in APO) align with expectations and are likely significant in a logistic regression model.</w:t>
      </w:r>
    </w:p>
    <w:p w:rsidR="00C34B1E" w:rsidRDefault="00C34B1E" w:rsidP="00E371F0">
      <w:pPr>
        <w:numPr>
          <w:ilvl w:val="1"/>
          <w:numId w:val="17"/>
        </w:numPr>
        <w:spacing w:before="100" w:beforeAutospacing="1" w:after="100" w:afterAutospacing="1" w:line="240" w:lineRule="auto"/>
      </w:pPr>
      <w:r>
        <w:lastRenderedPageBreak/>
        <w:t xml:space="preserve">Other predictors like </w:t>
      </w:r>
      <w:proofErr w:type="spellStart"/>
      <w:r>
        <w:rPr>
          <w:rStyle w:val="text-sm"/>
        </w:rPr>
        <w:t>avg_timing_first_antenatal_check</w:t>
      </w:r>
      <w:proofErr w:type="spellEnd"/>
      <w:r>
        <w:t xml:space="preserve">, </w:t>
      </w:r>
      <w:proofErr w:type="spellStart"/>
      <w:r>
        <w:rPr>
          <w:rStyle w:val="text-sm"/>
        </w:rPr>
        <w:t>avg_num_antenatal_visits</w:t>
      </w:r>
      <w:proofErr w:type="spellEnd"/>
      <w:r>
        <w:t xml:space="preserve">, </w:t>
      </w:r>
      <w:proofErr w:type="spellStart"/>
      <w:r>
        <w:rPr>
          <w:rStyle w:val="text-sm"/>
        </w:rPr>
        <w:t>place_of_residence</w:t>
      </w:r>
      <w:proofErr w:type="spellEnd"/>
      <w:r>
        <w:t xml:space="preserve">, </w:t>
      </w:r>
      <w:proofErr w:type="spellStart"/>
      <w:r>
        <w:rPr>
          <w:rStyle w:val="text-sm"/>
        </w:rPr>
        <w:t>wealth_index</w:t>
      </w:r>
      <w:proofErr w:type="spellEnd"/>
      <w:r>
        <w:t xml:space="preserve">, </w:t>
      </w:r>
      <w:proofErr w:type="spellStart"/>
      <w:r>
        <w:rPr>
          <w:rStyle w:val="text-sm"/>
        </w:rPr>
        <w:t>highest_education_level</w:t>
      </w:r>
      <w:proofErr w:type="spellEnd"/>
      <w:r>
        <w:t xml:space="preserve">, and </w:t>
      </w:r>
      <w:proofErr w:type="spellStart"/>
      <w:r>
        <w:rPr>
          <w:rStyle w:val="text-sm"/>
        </w:rPr>
        <w:t>avg_tetanus_during_pregnancy</w:t>
      </w:r>
      <w:proofErr w:type="spellEnd"/>
      <w:r>
        <w:t xml:space="preserve"> show patterns that are partially expected but complicated by confounding (e.g., APO women have better access to care but higher APO rates).</w:t>
      </w:r>
    </w:p>
    <w:p w:rsidR="00C34B1E" w:rsidRDefault="00C34B1E" w:rsidP="00E371F0">
      <w:pPr>
        <w:numPr>
          <w:ilvl w:val="0"/>
          <w:numId w:val="17"/>
        </w:numPr>
        <w:spacing w:before="100" w:beforeAutospacing="1" w:after="100" w:afterAutospacing="1" w:line="240" w:lineRule="auto"/>
      </w:pPr>
      <w:r>
        <w:rPr>
          <w:rStyle w:val="Strong"/>
        </w:rPr>
        <w:t>Counterintuitive Patterns</w:t>
      </w:r>
      <w:r>
        <w:t xml:space="preserve">: </w:t>
      </w:r>
    </w:p>
    <w:p w:rsidR="00C34B1E" w:rsidRDefault="00C34B1E" w:rsidP="00E371F0">
      <w:pPr>
        <w:numPr>
          <w:ilvl w:val="1"/>
          <w:numId w:val="17"/>
        </w:numPr>
        <w:spacing w:before="100" w:beforeAutospacing="1" w:after="100" w:afterAutospacing="1" w:line="240" w:lineRule="auto"/>
      </w:pPr>
      <w:proofErr w:type="spellStart"/>
      <w:r>
        <w:rPr>
          <w:rStyle w:val="text-sm"/>
        </w:rPr>
        <w:t>age_at_first_birth_cat</w:t>
      </w:r>
      <w:proofErr w:type="spellEnd"/>
      <w:r>
        <w:t xml:space="preserve">, </w:t>
      </w:r>
      <w:proofErr w:type="spellStart"/>
      <w:r>
        <w:rPr>
          <w:rStyle w:val="text-sm"/>
        </w:rPr>
        <w:t>abused_during_pregnancy</w:t>
      </w:r>
      <w:proofErr w:type="spellEnd"/>
      <w:r>
        <w:t xml:space="preserve">, and </w:t>
      </w:r>
      <w:proofErr w:type="spellStart"/>
      <w:r>
        <w:rPr>
          <w:rStyle w:val="text-sm"/>
        </w:rPr>
        <w:t>avg_size_of_child</w:t>
      </w:r>
      <w:proofErr w:type="spellEnd"/>
      <w:r>
        <w:t xml:space="preserve"> show counterintuitive results: </w:t>
      </w:r>
    </w:p>
    <w:p w:rsidR="00C34B1E" w:rsidRDefault="00C34B1E" w:rsidP="00E371F0">
      <w:pPr>
        <w:numPr>
          <w:ilvl w:val="2"/>
          <w:numId w:val="17"/>
        </w:numPr>
        <w:spacing w:before="100" w:beforeAutospacing="1" w:after="100" w:afterAutospacing="1" w:line="240" w:lineRule="auto"/>
      </w:pPr>
      <w:r>
        <w:t xml:space="preserve">Younger age at first birth (Below 19) is more common in </w:t>
      </w:r>
      <w:proofErr w:type="spellStart"/>
      <w:r>
        <w:t>NonAPO</w:t>
      </w:r>
      <w:proofErr w:type="spellEnd"/>
      <w:r>
        <w:t>, not APO.</w:t>
      </w:r>
    </w:p>
    <w:p w:rsidR="00C34B1E" w:rsidRDefault="00C34B1E" w:rsidP="00E371F0">
      <w:pPr>
        <w:numPr>
          <w:ilvl w:val="2"/>
          <w:numId w:val="17"/>
        </w:numPr>
        <w:spacing w:before="100" w:beforeAutospacing="1" w:after="100" w:afterAutospacing="1" w:line="240" w:lineRule="auto"/>
      </w:pPr>
      <w:r>
        <w:t xml:space="preserve">Abuse during pregnancy is more common in </w:t>
      </w:r>
      <w:proofErr w:type="spellStart"/>
      <w:r>
        <w:t>NonAPO</w:t>
      </w:r>
      <w:proofErr w:type="spellEnd"/>
      <w:r>
        <w:t>, not APO.</w:t>
      </w:r>
    </w:p>
    <w:p w:rsidR="00C34B1E" w:rsidRDefault="00C34B1E" w:rsidP="00E371F0">
      <w:pPr>
        <w:numPr>
          <w:ilvl w:val="2"/>
          <w:numId w:val="17"/>
        </w:numPr>
        <w:spacing w:before="100" w:beforeAutospacing="1" w:after="100" w:afterAutospacing="1" w:line="240" w:lineRule="auto"/>
      </w:pPr>
      <w:r>
        <w:t>Average child size is slightly higher in APO, not lower.</w:t>
      </w:r>
    </w:p>
    <w:p w:rsidR="00C34B1E" w:rsidRDefault="00C34B1E" w:rsidP="00E371F0">
      <w:pPr>
        <w:numPr>
          <w:ilvl w:val="1"/>
          <w:numId w:val="17"/>
        </w:numPr>
        <w:spacing w:before="100" w:beforeAutospacing="1" w:after="100" w:afterAutospacing="1" w:line="240" w:lineRule="auto"/>
      </w:pPr>
      <w:r>
        <w:t xml:space="preserve">These findings might be due to confounding (e.g., rural </w:t>
      </w:r>
      <w:proofErr w:type="spellStart"/>
      <w:r>
        <w:t>NonAPO</w:t>
      </w:r>
      <w:proofErr w:type="spellEnd"/>
      <w:r>
        <w:t xml:space="preserve"> women having earlier first births and more abuse) or high missing data (</w:t>
      </w:r>
      <w:proofErr w:type="spellStart"/>
      <w:r>
        <w:rPr>
          <w:rStyle w:val="text-sm"/>
        </w:rPr>
        <w:t>abused_during_pregnancy</w:t>
      </w:r>
      <w:proofErr w:type="spellEnd"/>
      <w:r>
        <w:t xml:space="preserve">: 41.6%–43.8%, </w:t>
      </w:r>
      <w:proofErr w:type="spellStart"/>
      <w:r>
        <w:rPr>
          <w:rStyle w:val="text-sm"/>
        </w:rPr>
        <w:t>avg_size_of_child</w:t>
      </w:r>
      <w:proofErr w:type="spellEnd"/>
      <w:r>
        <w:t>: 77.9%) introducing bias.</w:t>
      </w:r>
    </w:p>
    <w:p w:rsidR="00C34B1E" w:rsidRDefault="00C34B1E" w:rsidP="00E371F0">
      <w:pPr>
        <w:numPr>
          <w:ilvl w:val="0"/>
          <w:numId w:val="17"/>
        </w:numPr>
        <w:spacing w:before="100" w:beforeAutospacing="1" w:after="100" w:afterAutospacing="1" w:line="240" w:lineRule="auto"/>
      </w:pPr>
      <w:r>
        <w:rPr>
          <w:rStyle w:val="Strong"/>
        </w:rPr>
        <w:t>Context with 2022 Kenya DHS</w:t>
      </w:r>
      <w:r>
        <w:t xml:space="preserve">: </w:t>
      </w:r>
    </w:p>
    <w:p w:rsidR="00C34B1E" w:rsidRDefault="00C34B1E" w:rsidP="00E371F0">
      <w:pPr>
        <w:numPr>
          <w:ilvl w:val="1"/>
          <w:numId w:val="17"/>
        </w:numPr>
        <w:spacing w:before="100" w:beforeAutospacing="1" w:after="100" w:afterAutospacing="1" w:line="240" w:lineRule="auto"/>
      </w:pPr>
      <w:r>
        <w:t>The DHS highlights challenges like unmet need for family planning (14%), teenage pregnancy (15%), and violence (34% of women), which align with some of our findings (e.g., high non-use of contraception, high rates of abuse). However, our sample’s focus on women with pregnancy outcomes and inclusion of all pregnancies (not just recent ones) explains some discrepancies (e.g., higher teenage first births, lower modern method use).</w:t>
      </w:r>
    </w:p>
    <w:p w:rsidR="00C34B1E" w:rsidRDefault="00C34B1E" w:rsidP="00E371F0">
      <w:pPr>
        <w:numPr>
          <w:ilvl w:val="0"/>
          <w:numId w:val="17"/>
        </w:numPr>
        <w:spacing w:before="100" w:beforeAutospacing="1" w:after="100" w:afterAutospacing="1" w:line="240" w:lineRule="auto"/>
      </w:pPr>
      <w:r>
        <w:rPr>
          <w:rStyle w:val="Strong"/>
        </w:rPr>
        <w:t>Implications for Modeling</w:t>
      </w:r>
      <w:r>
        <w:t xml:space="preserve">: </w:t>
      </w:r>
    </w:p>
    <w:p w:rsidR="00C34B1E" w:rsidRDefault="00C34B1E" w:rsidP="00E371F0">
      <w:pPr>
        <w:numPr>
          <w:ilvl w:val="1"/>
          <w:numId w:val="17"/>
        </w:numPr>
        <w:spacing w:before="100" w:beforeAutospacing="1" w:after="100" w:afterAutospacing="1" w:line="240" w:lineRule="auto"/>
      </w:pPr>
      <w:r>
        <w:t xml:space="preserve">All predictors except </w:t>
      </w:r>
      <w:proofErr w:type="spellStart"/>
      <w:r>
        <w:rPr>
          <w:rStyle w:val="text-sm"/>
        </w:rPr>
        <w:t>respondent_circumcised</w:t>
      </w:r>
      <w:proofErr w:type="spellEnd"/>
      <w:r>
        <w:t xml:space="preserve"> should be included in a logistic regression model to assess their combined effects on </w:t>
      </w:r>
      <w:proofErr w:type="spellStart"/>
      <w:r>
        <w:rPr>
          <w:rStyle w:val="text-sm"/>
        </w:rPr>
        <w:t>apo_general</w:t>
      </w:r>
      <w:proofErr w:type="spellEnd"/>
      <w:r>
        <w:t>.</w:t>
      </w:r>
    </w:p>
    <w:p w:rsidR="00C34B1E" w:rsidRDefault="00C34B1E" w:rsidP="00E371F0">
      <w:pPr>
        <w:numPr>
          <w:ilvl w:val="1"/>
          <w:numId w:val="17"/>
        </w:numPr>
        <w:spacing w:before="100" w:beforeAutospacing="1" w:after="100" w:afterAutospacing="1" w:line="240" w:lineRule="auto"/>
      </w:pPr>
      <w:r>
        <w:t xml:space="preserve">High missing data in </w:t>
      </w:r>
      <w:proofErr w:type="spellStart"/>
      <w:r>
        <w:rPr>
          <w:rStyle w:val="text-sm"/>
        </w:rPr>
        <w:t>abused_during_pregnancy</w:t>
      </w:r>
      <w:proofErr w:type="spellEnd"/>
      <w:r>
        <w:t xml:space="preserve"> and </w:t>
      </w:r>
      <w:proofErr w:type="spellStart"/>
      <w:r>
        <w:rPr>
          <w:rStyle w:val="text-sm"/>
        </w:rPr>
        <w:t>avg_size_of_child</w:t>
      </w:r>
      <w:proofErr w:type="spellEnd"/>
      <w:r>
        <w:t xml:space="preserve"> might reduce model performance, and imputation or sensitivity analyses may be needed.</w:t>
      </w:r>
    </w:p>
    <w:p w:rsidR="00C34B1E" w:rsidRDefault="00C34B1E" w:rsidP="00E371F0">
      <w:pPr>
        <w:numPr>
          <w:ilvl w:val="1"/>
          <w:numId w:val="17"/>
        </w:numPr>
        <w:spacing w:before="100" w:beforeAutospacing="1" w:after="100" w:afterAutospacing="1" w:line="240" w:lineRule="auto"/>
      </w:pPr>
      <w:r>
        <w:t xml:space="preserve">Interactions (e.g., </w:t>
      </w:r>
      <w:proofErr w:type="spellStart"/>
      <w:r>
        <w:rPr>
          <w:rStyle w:val="text-sm"/>
        </w:rPr>
        <w:t>contraceptive_category</w:t>
      </w:r>
      <w:proofErr w:type="spellEnd"/>
      <w:r>
        <w:t xml:space="preserve"> and </w:t>
      </w:r>
      <w:proofErr w:type="spellStart"/>
      <w:r>
        <w:rPr>
          <w:rStyle w:val="text-sm"/>
        </w:rPr>
        <w:t>wealth_index</w:t>
      </w:r>
      <w:proofErr w:type="spellEnd"/>
      <w:r>
        <w:t>) could be explored to understand how access to contraception varies by socioeconomic status.</w:t>
      </w:r>
    </w:p>
    <w:p w:rsidR="00692D04" w:rsidRPr="00C34B1E" w:rsidRDefault="00692D04" w:rsidP="00C34B1E"/>
    <w:sectPr w:rsidR="00692D04" w:rsidRPr="00C34B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B2905"/>
    <w:multiLevelType w:val="multilevel"/>
    <w:tmpl w:val="AE50C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23921"/>
    <w:multiLevelType w:val="multilevel"/>
    <w:tmpl w:val="B1F8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956FD"/>
    <w:multiLevelType w:val="multilevel"/>
    <w:tmpl w:val="DA569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A0A21"/>
    <w:multiLevelType w:val="multilevel"/>
    <w:tmpl w:val="A10A9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50552B"/>
    <w:multiLevelType w:val="multilevel"/>
    <w:tmpl w:val="500C3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D1BA8"/>
    <w:multiLevelType w:val="multilevel"/>
    <w:tmpl w:val="70BE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C57BC"/>
    <w:multiLevelType w:val="multilevel"/>
    <w:tmpl w:val="4254F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76B93"/>
    <w:multiLevelType w:val="multilevel"/>
    <w:tmpl w:val="7D408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80F09"/>
    <w:multiLevelType w:val="multilevel"/>
    <w:tmpl w:val="16A88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D2341"/>
    <w:multiLevelType w:val="multilevel"/>
    <w:tmpl w:val="58284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77078"/>
    <w:multiLevelType w:val="multilevel"/>
    <w:tmpl w:val="1A883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62B14"/>
    <w:multiLevelType w:val="multilevel"/>
    <w:tmpl w:val="D474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A954ED"/>
    <w:multiLevelType w:val="multilevel"/>
    <w:tmpl w:val="87181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03E1F"/>
    <w:multiLevelType w:val="multilevel"/>
    <w:tmpl w:val="FBE4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753472"/>
    <w:multiLevelType w:val="multilevel"/>
    <w:tmpl w:val="7E367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158DA"/>
    <w:multiLevelType w:val="multilevel"/>
    <w:tmpl w:val="F9F00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5978A7"/>
    <w:multiLevelType w:val="multilevel"/>
    <w:tmpl w:val="049C0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3"/>
  </w:num>
  <w:num w:numId="5">
    <w:abstractNumId w:val="1"/>
  </w:num>
  <w:num w:numId="6">
    <w:abstractNumId w:val="9"/>
  </w:num>
  <w:num w:numId="7">
    <w:abstractNumId w:val="0"/>
  </w:num>
  <w:num w:numId="8">
    <w:abstractNumId w:val="10"/>
  </w:num>
  <w:num w:numId="9">
    <w:abstractNumId w:val="2"/>
  </w:num>
  <w:num w:numId="10">
    <w:abstractNumId w:val="11"/>
  </w:num>
  <w:num w:numId="11">
    <w:abstractNumId w:val="8"/>
  </w:num>
  <w:num w:numId="12">
    <w:abstractNumId w:val="15"/>
  </w:num>
  <w:num w:numId="13">
    <w:abstractNumId w:val="4"/>
  </w:num>
  <w:num w:numId="14">
    <w:abstractNumId w:val="13"/>
  </w:num>
  <w:num w:numId="15">
    <w:abstractNumId w:val="12"/>
  </w:num>
  <w:num w:numId="16">
    <w:abstractNumId w:val="14"/>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F9"/>
    <w:rsid w:val="00020338"/>
    <w:rsid w:val="000459F9"/>
    <w:rsid w:val="000A02F9"/>
    <w:rsid w:val="000A5B2B"/>
    <w:rsid w:val="000B5938"/>
    <w:rsid w:val="00130CAD"/>
    <w:rsid w:val="00234F1F"/>
    <w:rsid w:val="003B028D"/>
    <w:rsid w:val="005E0402"/>
    <w:rsid w:val="00692D04"/>
    <w:rsid w:val="00701C5C"/>
    <w:rsid w:val="007A719E"/>
    <w:rsid w:val="0085006D"/>
    <w:rsid w:val="00971017"/>
    <w:rsid w:val="00BF4C86"/>
    <w:rsid w:val="00C34B1E"/>
    <w:rsid w:val="00D048AE"/>
    <w:rsid w:val="00D40283"/>
    <w:rsid w:val="00DC75D3"/>
    <w:rsid w:val="00E371F0"/>
    <w:rsid w:val="00FD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B96DCD-494F-4ABB-A606-EAFCFCA3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4B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34B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5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C75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0338"/>
    <w:rPr>
      <w:b/>
      <w:bCs/>
    </w:rPr>
  </w:style>
  <w:style w:type="character" w:customStyle="1" w:styleId="text-sm">
    <w:name w:val="text-sm"/>
    <w:basedOn w:val="DefaultParagraphFont"/>
    <w:rsid w:val="00020338"/>
  </w:style>
  <w:style w:type="character" w:customStyle="1" w:styleId="Heading4Char">
    <w:name w:val="Heading 4 Char"/>
    <w:basedOn w:val="DefaultParagraphFont"/>
    <w:link w:val="Heading4"/>
    <w:uiPriority w:val="9"/>
    <w:rsid w:val="00DC75D3"/>
    <w:rPr>
      <w:rFonts w:ascii="Times New Roman" w:eastAsia="Times New Roman" w:hAnsi="Times New Roman" w:cs="Times New Roman"/>
      <w:b/>
      <w:bCs/>
      <w:sz w:val="24"/>
      <w:szCs w:val="24"/>
    </w:rPr>
  </w:style>
  <w:style w:type="paragraph" w:customStyle="1" w:styleId="break-words">
    <w:name w:val="break-words"/>
    <w:basedOn w:val="Normal"/>
    <w:rsid w:val="00DC75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0283"/>
    <w:pPr>
      <w:ind w:left="720"/>
      <w:contextualSpacing/>
    </w:pPr>
  </w:style>
  <w:style w:type="character" w:customStyle="1" w:styleId="font-mono">
    <w:name w:val="font-mono"/>
    <w:basedOn w:val="DefaultParagraphFont"/>
    <w:rsid w:val="00701C5C"/>
  </w:style>
  <w:style w:type="character" w:customStyle="1" w:styleId="hidden">
    <w:name w:val="hidden"/>
    <w:basedOn w:val="DefaultParagraphFont"/>
    <w:rsid w:val="00701C5C"/>
  </w:style>
  <w:style w:type="character" w:styleId="HTMLCode">
    <w:name w:val="HTML Code"/>
    <w:basedOn w:val="DefaultParagraphFont"/>
    <w:uiPriority w:val="99"/>
    <w:semiHidden/>
    <w:unhideWhenUsed/>
    <w:rsid w:val="00701C5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B593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C34B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34B1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5439">
      <w:bodyDiv w:val="1"/>
      <w:marLeft w:val="0"/>
      <w:marRight w:val="0"/>
      <w:marTop w:val="0"/>
      <w:marBottom w:val="0"/>
      <w:divBdr>
        <w:top w:val="none" w:sz="0" w:space="0" w:color="auto"/>
        <w:left w:val="none" w:sz="0" w:space="0" w:color="auto"/>
        <w:bottom w:val="none" w:sz="0" w:space="0" w:color="auto"/>
        <w:right w:val="none" w:sz="0" w:space="0" w:color="auto"/>
      </w:divBdr>
      <w:divsChild>
        <w:div w:id="1874266263">
          <w:marLeft w:val="0"/>
          <w:marRight w:val="0"/>
          <w:marTop w:val="0"/>
          <w:marBottom w:val="0"/>
          <w:divBdr>
            <w:top w:val="none" w:sz="0" w:space="0" w:color="auto"/>
            <w:left w:val="none" w:sz="0" w:space="0" w:color="auto"/>
            <w:bottom w:val="none" w:sz="0" w:space="0" w:color="auto"/>
            <w:right w:val="none" w:sz="0" w:space="0" w:color="auto"/>
          </w:divBdr>
          <w:divsChild>
            <w:div w:id="1424648614">
              <w:marLeft w:val="0"/>
              <w:marRight w:val="0"/>
              <w:marTop w:val="0"/>
              <w:marBottom w:val="0"/>
              <w:divBdr>
                <w:top w:val="none" w:sz="0" w:space="0" w:color="auto"/>
                <w:left w:val="none" w:sz="0" w:space="0" w:color="auto"/>
                <w:bottom w:val="none" w:sz="0" w:space="0" w:color="auto"/>
                <w:right w:val="none" w:sz="0" w:space="0" w:color="auto"/>
              </w:divBdr>
              <w:divsChild>
                <w:div w:id="1115053378">
                  <w:marLeft w:val="0"/>
                  <w:marRight w:val="0"/>
                  <w:marTop w:val="0"/>
                  <w:marBottom w:val="0"/>
                  <w:divBdr>
                    <w:top w:val="none" w:sz="0" w:space="0" w:color="auto"/>
                    <w:left w:val="none" w:sz="0" w:space="0" w:color="auto"/>
                    <w:bottom w:val="none" w:sz="0" w:space="0" w:color="auto"/>
                    <w:right w:val="none" w:sz="0" w:space="0" w:color="auto"/>
                  </w:divBdr>
                  <w:divsChild>
                    <w:div w:id="619845308">
                      <w:marLeft w:val="0"/>
                      <w:marRight w:val="0"/>
                      <w:marTop w:val="0"/>
                      <w:marBottom w:val="0"/>
                      <w:divBdr>
                        <w:top w:val="none" w:sz="0" w:space="0" w:color="auto"/>
                        <w:left w:val="none" w:sz="0" w:space="0" w:color="auto"/>
                        <w:bottom w:val="none" w:sz="0" w:space="0" w:color="auto"/>
                        <w:right w:val="none" w:sz="0" w:space="0" w:color="auto"/>
                      </w:divBdr>
                    </w:div>
                    <w:div w:id="865097896">
                      <w:marLeft w:val="0"/>
                      <w:marRight w:val="0"/>
                      <w:marTop w:val="0"/>
                      <w:marBottom w:val="0"/>
                      <w:divBdr>
                        <w:top w:val="none" w:sz="0" w:space="0" w:color="auto"/>
                        <w:left w:val="none" w:sz="0" w:space="0" w:color="auto"/>
                        <w:bottom w:val="none" w:sz="0" w:space="0" w:color="auto"/>
                        <w:right w:val="none" w:sz="0" w:space="0" w:color="auto"/>
                      </w:divBdr>
                      <w:divsChild>
                        <w:div w:id="904418515">
                          <w:marLeft w:val="0"/>
                          <w:marRight w:val="0"/>
                          <w:marTop w:val="0"/>
                          <w:marBottom w:val="0"/>
                          <w:divBdr>
                            <w:top w:val="none" w:sz="0" w:space="0" w:color="auto"/>
                            <w:left w:val="none" w:sz="0" w:space="0" w:color="auto"/>
                            <w:bottom w:val="none" w:sz="0" w:space="0" w:color="auto"/>
                            <w:right w:val="none" w:sz="0" w:space="0" w:color="auto"/>
                          </w:divBdr>
                        </w:div>
                      </w:divsChild>
                    </w:div>
                    <w:div w:id="115796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4268">
      <w:bodyDiv w:val="1"/>
      <w:marLeft w:val="0"/>
      <w:marRight w:val="0"/>
      <w:marTop w:val="0"/>
      <w:marBottom w:val="0"/>
      <w:divBdr>
        <w:top w:val="none" w:sz="0" w:space="0" w:color="auto"/>
        <w:left w:val="none" w:sz="0" w:space="0" w:color="auto"/>
        <w:bottom w:val="none" w:sz="0" w:space="0" w:color="auto"/>
        <w:right w:val="none" w:sz="0" w:space="0" w:color="auto"/>
      </w:divBdr>
      <w:divsChild>
        <w:div w:id="210120300">
          <w:marLeft w:val="0"/>
          <w:marRight w:val="0"/>
          <w:marTop w:val="0"/>
          <w:marBottom w:val="0"/>
          <w:divBdr>
            <w:top w:val="none" w:sz="0" w:space="0" w:color="auto"/>
            <w:left w:val="none" w:sz="0" w:space="0" w:color="auto"/>
            <w:bottom w:val="none" w:sz="0" w:space="0" w:color="auto"/>
            <w:right w:val="none" w:sz="0" w:space="0" w:color="auto"/>
          </w:divBdr>
        </w:div>
      </w:divsChild>
    </w:div>
    <w:div w:id="410391542">
      <w:bodyDiv w:val="1"/>
      <w:marLeft w:val="0"/>
      <w:marRight w:val="0"/>
      <w:marTop w:val="0"/>
      <w:marBottom w:val="0"/>
      <w:divBdr>
        <w:top w:val="none" w:sz="0" w:space="0" w:color="auto"/>
        <w:left w:val="none" w:sz="0" w:space="0" w:color="auto"/>
        <w:bottom w:val="none" w:sz="0" w:space="0" w:color="auto"/>
        <w:right w:val="none" w:sz="0" w:space="0" w:color="auto"/>
      </w:divBdr>
      <w:divsChild>
        <w:div w:id="1951470931">
          <w:marLeft w:val="0"/>
          <w:marRight w:val="0"/>
          <w:marTop w:val="0"/>
          <w:marBottom w:val="0"/>
          <w:divBdr>
            <w:top w:val="none" w:sz="0" w:space="0" w:color="auto"/>
            <w:left w:val="none" w:sz="0" w:space="0" w:color="auto"/>
            <w:bottom w:val="none" w:sz="0" w:space="0" w:color="auto"/>
            <w:right w:val="none" w:sz="0" w:space="0" w:color="auto"/>
          </w:divBdr>
        </w:div>
      </w:divsChild>
    </w:div>
    <w:div w:id="557668562">
      <w:bodyDiv w:val="1"/>
      <w:marLeft w:val="0"/>
      <w:marRight w:val="0"/>
      <w:marTop w:val="0"/>
      <w:marBottom w:val="0"/>
      <w:divBdr>
        <w:top w:val="none" w:sz="0" w:space="0" w:color="auto"/>
        <w:left w:val="none" w:sz="0" w:space="0" w:color="auto"/>
        <w:bottom w:val="none" w:sz="0" w:space="0" w:color="auto"/>
        <w:right w:val="none" w:sz="0" w:space="0" w:color="auto"/>
      </w:divBdr>
      <w:divsChild>
        <w:div w:id="1763142404">
          <w:marLeft w:val="0"/>
          <w:marRight w:val="0"/>
          <w:marTop w:val="0"/>
          <w:marBottom w:val="0"/>
          <w:divBdr>
            <w:top w:val="none" w:sz="0" w:space="0" w:color="auto"/>
            <w:left w:val="none" w:sz="0" w:space="0" w:color="auto"/>
            <w:bottom w:val="none" w:sz="0" w:space="0" w:color="auto"/>
            <w:right w:val="none" w:sz="0" w:space="0" w:color="auto"/>
          </w:divBdr>
        </w:div>
      </w:divsChild>
    </w:div>
    <w:div w:id="644546604">
      <w:bodyDiv w:val="1"/>
      <w:marLeft w:val="0"/>
      <w:marRight w:val="0"/>
      <w:marTop w:val="0"/>
      <w:marBottom w:val="0"/>
      <w:divBdr>
        <w:top w:val="none" w:sz="0" w:space="0" w:color="auto"/>
        <w:left w:val="none" w:sz="0" w:space="0" w:color="auto"/>
        <w:bottom w:val="none" w:sz="0" w:space="0" w:color="auto"/>
        <w:right w:val="none" w:sz="0" w:space="0" w:color="auto"/>
      </w:divBdr>
      <w:divsChild>
        <w:div w:id="203175183">
          <w:marLeft w:val="0"/>
          <w:marRight w:val="0"/>
          <w:marTop w:val="0"/>
          <w:marBottom w:val="0"/>
          <w:divBdr>
            <w:top w:val="none" w:sz="0" w:space="0" w:color="auto"/>
            <w:left w:val="none" w:sz="0" w:space="0" w:color="auto"/>
            <w:bottom w:val="none" w:sz="0" w:space="0" w:color="auto"/>
            <w:right w:val="none" w:sz="0" w:space="0" w:color="auto"/>
          </w:divBdr>
        </w:div>
      </w:divsChild>
    </w:div>
    <w:div w:id="685402433">
      <w:bodyDiv w:val="1"/>
      <w:marLeft w:val="0"/>
      <w:marRight w:val="0"/>
      <w:marTop w:val="0"/>
      <w:marBottom w:val="0"/>
      <w:divBdr>
        <w:top w:val="none" w:sz="0" w:space="0" w:color="auto"/>
        <w:left w:val="none" w:sz="0" w:space="0" w:color="auto"/>
        <w:bottom w:val="none" w:sz="0" w:space="0" w:color="auto"/>
        <w:right w:val="none" w:sz="0" w:space="0" w:color="auto"/>
      </w:divBdr>
      <w:divsChild>
        <w:div w:id="723989645">
          <w:marLeft w:val="0"/>
          <w:marRight w:val="0"/>
          <w:marTop w:val="0"/>
          <w:marBottom w:val="0"/>
          <w:divBdr>
            <w:top w:val="none" w:sz="0" w:space="0" w:color="auto"/>
            <w:left w:val="none" w:sz="0" w:space="0" w:color="auto"/>
            <w:bottom w:val="none" w:sz="0" w:space="0" w:color="auto"/>
            <w:right w:val="none" w:sz="0" w:space="0" w:color="auto"/>
          </w:divBdr>
        </w:div>
      </w:divsChild>
    </w:div>
    <w:div w:id="720440878">
      <w:bodyDiv w:val="1"/>
      <w:marLeft w:val="0"/>
      <w:marRight w:val="0"/>
      <w:marTop w:val="0"/>
      <w:marBottom w:val="0"/>
      <w:divBdr>
        <w:top w:val="none" w:sz="0" w:space="0" w:color="auto"/>
        <w:left w:val="none" w:sz="0" w:space="0" w:color="auto"/>
        <w:bottom w:val="none" w:sz="0" w:space="0" w:color="auto"/>
        <w:right w:val="none" w:sz="0" w:space="0" w:color="auto"/>
      </w:divBdr>
      <w:divsChild>
        <w:div w:id="685638000">
          <w:marLeft w:val="0"/>
          <w:marRight w:val="0"/>
          <w:marTop w:val="0"/>
          <w:marBottom w:val="0"/>
          <w:divBdr>
            <w:top w:val="none" w:sz="0" w:space="0" w:color="auto"/>
            <w:left w:val="none" w:sz="0" w:space="0" w:color="auto"/>
            <w:bottom w:val="none" w:sz="0" w:space="0" w:color="auto"/>
            <w:right w:val="none" w:sz="0" w:space="0" w:color="auto"/>
          </w:divBdr>
        </w:div>
      </w:divsChild>
    </w:div>
    <w:div w:id="745608363">
      <w:bodyDiv w:val="1"/>
      <w:marLeft w:val="0"/>
      <w:marRight w:val="0"/>
      <w:marTop w:val="0"/>
      <w:marBottom w:val="0"/>
      <w:divBdr>
        <w:top w:val="none" w:sz="0" w:space="0" w:color="auto"/>
        <w:left w:val="none" w:sz="0" w:space="0" w:color="auto"/>
        <w:bottom w:val="none" w:sz="0" w:space="0" w:color="auto"/>
        <w:right w:val="none" w:sz="0" w:space="0" w:color="auto"/>
      </w:divBdr>
      <w:divsChild>
        <w:div w:id="792213692">
          <w:marLeft w:val="0"/>
          <w:marRight w:val="0"/>
          <w:marTop w:val="0"/>
          <w:marBottom w:val="0"/>
          <w:divBdr>
            <w:top w:val="none" w:sz="0" w:space="0" w:color="auto"/>
            <w:left w:val="none" w:sz="0" w:space="0" w:color="auto"/>
            <w:bottom w:val="none" w:sz="0" w:space="0" w:color="auto"/>
            <w:right w:val="none" w:sz="0" w:space="0" w:color="auto"/>
          </w:divBdr>
        </w:div>
      </w:divsChild>
    </w:div>
    <w:div w:id="872886605">
      <w:bodyDiv w:val="1"/>
      <w:marLeft w:val="0"/>
      <w:marRight w:val="0"/>
      <w:marTop w:val="0"/>
      <w:marBottom w:val="0"/>
      <w:divBdr>
        <w:top w:val="none" w:sz="0" w:space="0" w:color="auto"/>
        <w:left w:val="none" w:sz="0" w:space="0" w:color="auto"/>
        <w:bottom w:val="none" w:sz="0" w:space="0" w:color="auto"/>
        <w:right w:val="none" w:sz="0" w:space="0" w:color="auto"/>
      </w:divBdr>
      <w:divsChild>
        <w:div w:id="618144505">
          <w:marLeft w:val="0"/>
          <w:marRight w:val="0"/>
          <w:marTop w:val="0"/>
          <w:marBottom w:val="0"/>
          <w:divBdr>
            <w:top w:val="none" w:sz="0" w:space="0" w:color="auto"/>
            <w:left w:val="none" w:sz="0" w:space="0" w:color="auto"/>
            <w:bottom w:val="none" w:sz="0" w:space="0" w:color="auto"/>
            <w:right w:val="none" w:sz="0" w:space="0" w:color="auto"/>
          </w:divBdr>
        </w:div>
      </w:divsChild>
    </w:div>
    <w:div w:id="879509534">
      <w:bodyDiv w:val="1"/>
      <w:marLeft w:val="0"/>
      <w:marRight w:val="0"/>
      <w:marTop w:val="0"/>
      <w:marBottom w:val="0"/>
      <w:divBdr>
        <w:top w:val="none" w:sz="0" w:space="0" w:color="auto"/>
        <w:left w:val="none" w:sz="0" w:space="0" w:color="auto"/>
        <w:bottom w:val="none" w:sz="0" w:space="0" w:color="auto"/>
        <w:right w:val="none" w:sz="0" w:space="0" w:color="auto"/>
      </w:divBdr>
      <w:divsChild>
        <w:div w:id="75520151">
          <w:marLeft w:val="0"/>
          <w:marRight w:val="0"/>
          <w:marTop w:val="0"/>
          <w:marBottom w:val="0"/>
          <w:divBdr>
            <w:top w:val="none" w:sz="0" w:space="0" w:color="auto"/>
            <w:left w:val="none" w:sz="0" w:space="0" w:color="auto"/>
            <w:bottom w:val="none" w:sz="0" w:space="0" w:color="auto"/>
            <w:right w:val="none" w:sz="0" w:space="0" w:color="auto"/>
          </w:divBdr>
        </w:div>
      </w:divsChild>
    </w:div>
    <w:div w:id="880018303">
      <w:bodyDiv w:val="1"/>
      <w:marLeft w:val="0"/>
      <w:marRight w:val="0"/>
      <w:marTop w:val="0"/>
      <w:marBottom w:val="0"/>
      <w:divBdr>
        <w:top w:val="none" w:sz="0" w:space="0" w:color="auto"/>
        <w:left w:val="none" w:sz="0" w:space="0" w:color="auto"/>
        <w:bottom w:val="none" w:sz="0" w:space="0" w:color="auto"/>
        <w:right w:val="none" w:sz="0" w:space="0" w:color="auto"/>
      </w:divBdr>
      <w:divsChild>
        <w:div w:id="2106994889">
          <w:marLeft w:val="0"/>
          <w:marRight w:val="0"/>
          <w:marTop w:val="0"/>
          <w:marBottom w:val="0"/>
          <w:divBdr>
            <w:top w:val="none" w:sz="0" w:space="0" w:color="auto"/>
            <w:left w:val="none" w:sz="0" w:space="0" w:color="auto"/>
            <w:bottom w:val="none" w:sz="0" w:space="0" w:color="auto"/>
            <w:right w:val="none" w:sz="0" w:space="0" w:color="auto"/>
          </w:divBdr>
        </w:div>
      </w:divsChild>
    </w:div>
    <w:div w:id="1089960982">
      <w:bodyDiv w:val="1"/>
      <w:marLeft w:val="0"/>
      <w:marRight w:val="0"/>
      <w:marTop w:val="0"/>
      <w:marBottom w:val="0"/>
      <w:divBdr>
        <w:top w:val="none" w:sz="0" w:space="0" w:color="auto"/>
        <w:left w:val="none" w:sz="0" w:space="0" w:color="auto"/>
        <w:bottom w:val="none" w:sz="0" w:space="0" w:color="auto"/>
        <w:right w:val="none" w:sz="0" w:space="0" w:color="auto"/>
      </w:divBdr>
      <w:divsChild>
        <w:div w:id="1060397304">
          <w:marLeft w:val="0"/>
          <w:marRight w:val="0"/>
          <w:marTop w:val="0"/>
          <w:marBottom w:val="0"/>
          <w:divBdr>
            <w:top w:val="none" w:sz="0" w:space="0" w:color="auto"/>
            <w:left w:val="none" w:sz="0" w:space="0" w:color="auto"/>
            <w:bottom w:val="none" w:sz="0" w:space="0" w:color="auto"/>
            <w:right w:val="none" w:sz="0" w:space="0" w:color="auto"/>
          </w:divBdr>
        </w:div>
      </w:divsChild>
    </w:div>
    <w:div w:id="1104232958">
      <w:bodyDiv w:val="1"/>
      <w:marLeft w:val="0"/>
      <w:marRight w:val="0"/>
      <w:marTop w:val="0"/>
      <w:marBottom w:val="0"/>
      <w:divBdr>
        <w:top w:val="none" w:sz="0" w:space="0" w:color="auto"/>
        <w:left w:val="none" w:sz="0" w:space="0" w:color="auto"/>
        <w:bottom w:val="none" w:sz="0" w:space="0" w:color="auto"/>
        <w:right w:val="none" w:sz="0" w:space="0" w:color="auto"/>
      </w:divBdr>
      <w:divsChild>
        <w:div w:id="483088118">
          <w:marLeft w:val="0"/>
          <w:marRight w:val="0"/>
          <w:marTop w:val="0"/>
          <w:marBottom w:val="0"/>
          <w:divBdr>
            <w:top w:val="none" w:sz="0" w:space="0" w:color="auto"/>
            <w:left w:val="none" w:sz="0" w:space="0" w:color="auto"/>
            <w:bottom w:val="none" w:sz="0" w:space="0" w:color="auto"/>
            <w:right w:val="none" w:sz="0" w:space="0" w:color="auto"/>
          </w:divBdr>
        </w:div>
      </w:divsChild>
    </w:div>
    <w:div w:id="1232930325">
      <w:bodyDiv w:val="1"/>
      <w:marLeft w:val="0"/>
      <w:marRight w:val="0"/>
      <w:marTop w:val="0"/>
      <w:marBottom w:val="0"/>
      <w:divBdr>
        <w:top w:val="none" w:sz="0" w:space="0" w:color="auto"/>
        <w:left w:val="none" w:sz="0" w:space="0" w:color="auto"/>
        <w:bottom w:val="none" w:sz="0" w:space="0" w:color="auto"/>
        <w:right w:val="none" w:sz="0" w:space="0" w:color="auto"/>
      </w:divBdr>
      <w:divsChild>
        <w:div w:id="926615848">
          <w:marLeft w:val="0"/>
          <w:marRight w:val="0"/>
          <w:marTop w:val="0"/>
          <w:marBottom w:val="0"/>
          <w:divBdr>
            <w:top w:val="none" w:sz="0" w:space="0" w:color="auto"/>
            <w:left w:val="none" w:sz="0" w:space="0" w:color="auto"/>
            <w:bottom w:val="none" w:sz="0" w:space="0" w:color="auto"/>
            <w:right w:val="none" w:sz="0" w:space="0" w:color="auto"/>
          </w:divBdr>
        </w:div>
      </w:divsChild>
    </w:div>
    <w:div w:id="1365793910">
      <w:bodyDiv w:val="1"/>
      <w:marLeft w:val="0"/>
      <w:marRight w:val="0"/>
      <w:marTop w:val="0"/>
      <w:marBottom w:val="0"/>
      <w:divBdr>
        <w:top w:val="none" w:sz="0" w:space="0" w:color="auto"/>
        <w:left w:val="none" w:sz="0" w:space="0" w:color="auto"/>
        <w:bottom w:val="none" w:sz="0" w:space="0" w:color="auto"/>
        <w:right w:val="none" w:sz="0" w:space="0" w:color="auto"/>
      </w:divBdr>
      <w:divsChild>
        <w:div w:id="1215312498">
          <w:marLeft w:val="0"/>
          <w:marRight w:val="0"/>
          <w:marTop w:val="0"/>
          <w:marBottom w:val="0"/>
          <w:divBdr>
            <w:top w:val="none" w:sz="0" w:space="0" w:color="auto"/>
            <w:left w:val="none" w:sz="0" w:space="0" w:color="auto"/>
            <w:bottom w:val="none" w:sz="0" w:space="0" w:color="auto"/>
            <w:right w:val="none" w:sz="0" w:space="0" w:color="auto"/>
          </w:divBdr>
        </w:div>
      </w:divsChild>
    </w:div>
    <w:div w:id="1387486344">
      <w:bodyDiv w:val="1"/>
      <w:marLeft w:val="0"/>
      <w:marRight w:val="0"/>
      <w:marTop w:val="0"/>
      <w:marBottom w:val="0"/>
      <w:divBdr>
        <w:top w:val="none" w:sz="0" w:space="0" w:color="auto"/>
        <w:left w:val="none" w:sz="0" w:space="0" w:color="auto"/>
        <w:bottom w:val="none" w:sz="0" w:space="0" w:color="auto"/>
        <w:right w:val="none" w:sz="0" w:space="0" w:color="auto"/>
      </w:divBdr>
      <w:divsChild>
        <w:div w:id="1269049996">
          <w:marLeft w:val="0"/>
          <w:marRight w:val="0"/>
          <w:marTop w:val="0"/>
          <w:marBottom w:val="0"/>
          <w:divBdr>
            <w:top w:val="none" w:sz="0" w:space="0" w:color="auto"/>
            <w:left w:val="none" w:sz="0" w:space="0" w:color="auto"/>
            <w:bottom w:val="none" w:sz="0" w:space="0" w:color="auto"/>
            <w:right w:val="none" w:sz="0" w:space="0" w:color="auto"/>
          </w:divBdr>
          <w:divsChild>
            <w:div w:id="417942526">
              <w:marLeft w:val="0"/>
              <w:marRight w:val="0"/>
              <w:marTop w:val="0"/>
              <w:marBottom w:val="0"/>
              <w:divBdr>
                <w:top w:val="none" w:sz="0" w:space="0" w:color="auto"/>
                <w:left w:val="none" w:sz="0" w:space="0" w:color="auto"/>
                <w:bottom w:val="none" w:sz="0" w:space="0" w:color="auto"/>
                <w:right w:val="none" w:sz="0" w:space="0" w:color="auto"/>
              </w:divBdr>
              <w:divsChild>
                <w:div w:id="1689210983">
                  <w:marLeft w:val="0"/>
                  <w:marRight w:val="0"/>
                  <w:marTop w:val="0"/>
                  <w:marBottom w:val="0"/>
                  <w:divBdr>
                    <w:top w:val="none" w:sz="0" w:space="0" w:color="auto"/>
                    <w:left w:val="none" w:sz="0" w:space="0" w:color="auto"/>
                    <w:bottom w:val="none" w:sz="0" w:space="0" w:color="auto"/>
                    <w:right w:val="none" w:sz="0" w:space="0" w:color="auto"/>
                  </w:divBdr>
                  <w:divsChild>
                    <w:div w:id="522590682">
                      <w:marLeft w:val="0"/>
                      <w:marRight w:val="0"/>
                      <w:marTop w:val="0"/>
                      <w:marBottom w:val="0"/>
                      <w:divBdr>
                        <w:top w:val="none" w:sz="0" w:space="0" w:color="auto"/>
                        <w:left w:val="none" w:sz="0" w:space="0" w:color="auto"/>
                        <w:bottom w:val="none" w:sz="0" w:space="0" w:color="auto"/>
                        <w:right w:val="none" w:sz="0" w:space="0" w:color="auto"/>
                      </w:divBdr>
                    </w:div>
                    <w:div w:id="538469741">
                      <w:marLeft w:val="0"/>
                      <w:marRight w:val="0"/>
                      <w:marTop w:val="0"/>
                      <w:marBottom w:val="0"/>
                      <w:divBdr>
                        <w:top w:val="none" w:sz="0" w:space="0" w:color="auto"/>
                        <w:left w:val="none" w:sz="0" w:space="0" w:color="auto"/>
                        <w:bottom w:val="none" w:sz="0" w:space="0" w:color="auto"/>
                        <w:right w:val="none" w:sz="0" w:space="0" w:color="auto"/>
                      </w:divBdr>
                      <w:divsChild>
                        <w:div w:id="1135609293">
                          <w:marLeft w:val="0"/>
                          <w:marRight w:val="0"/>
                          <w:marTop w:val="0"/>
                          <w:marBottom w:val="0"/>
                          <w:divBdr>
                            <w:top w:val="none" w:sz="0" w:space="0" w:color="auto"/>
                            <w:left w:val="none" w:sz="0" w:space="0" w:color="auto"/>
                            <w:bottom w:val="none" w:sz="0" w:space="0" w:color="auto"/>
                            <w:right w:val="none" w:sz="0" w:space="0" w:color="auto"/>
                          </w:divBdr>
                        </w:div>
                      </w:divsChild>
                    </w:div>
                    <w:div w:id="5465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6390">
      <w:bodyDiv w:val="1"/>
      <w:marLeft w:val="0"/>
      <w:marRight w:val="0"/>
      <w:marTop w:val="0"/>
      <w:marBottom w:val="0"/>
      <w:divBdr>
        <w:top w:val="none" w:sz="0" w:space="0" w:color="auto"/>
        <w:left w:val="none" w:sz="0" w:space="0" w:color="auto"/>
        <w:bottom w:val="none" w:sz="0" w:space="0" w:color="auto"/>
        <w:right w:val="none" w:sz="0" w:space="0" w:color="auto"/>
      </w:divBdr>
    </w:div>
    <w:div w:id="1447116067">
      <w:bodyDiv w:val="1"/>
      <w:marLeft w:val="0"/>
      <w:marRight w:val="0"/>
      <w:marTop w:val="0"/>
      <w:marBottom w:val="0"/>
      <w:divBdr>
        <w:top w:val="none" w:sz="0" w:space="0" w:color="auto"/>
        <w:left w:val="none" w:sz="0" w:space="0" w:color="auto"/>
        <w:bottom w:val="none" w:sz="0" w:space="0" w:color="auto"/>
        <w:right w:val="none" w:sz="0" w:space="0" w:color="auto"/>
      </w:divBdr>
      <w:divsChild>
        <w:div w:id="1882936051">
          <w:marLeft w:val="0"/>
          <w:marRight w:val="0"/>
          <w:marTop w:val="0"/>
          <w:marBottom w:val="0"/>
          <w:divBdr>
            <w:top w:val="none" w:sz="0" w:space="0" w:color="auto"/>
            <w:left w:val="none" w:sz="0" w:space="0" w:color="auto"/>
            <w:bottom w:val="none" w:sz="0" w:space="0" w:color="auto"/>
            <w:right w:val="none" w:sz="0" w:space="0" w:color="auto"/>
          </w:divBdr>
        </w:div>
      </w:divsChild>
    </w:div>
    <w:div w:id="1558934302">
      <w:bodyDiv w:val="1"/>
      <w:marLeft w:val="0"/>
      <w:marRight w:val="0"/>
      <w:marTop w:val="0"/>
      <w:marBottom w:val="0"/>
      <w:divBdr>
        <w:top w:val="none" w:sz="0" w:space="0" w:color="auto"/>
        <w:left w:val="none" w:sz="0" w:space="0" w:color="auto"/>
        <w:bottom w:val="none" w:sz="0" w:space="0" w:color="auto"/>
        <w:right w:val="none" w:sz="0" w:space="0" w:color="auto"/>
      </w:divBdr>
      <w:divsChild>
        <w:div w:id="1972007082">
          <w:marLeft w:val="0"/>
          <w:marRight w:val="0"/>
          <w:marTop w:val="0"/>
          <w:marBottom w:val="0"/>
          <w:divBdr>
            <w:top w:val="none" w:sz="0" w:space="0" w:color="auto"/>
            <w:left w:val="none" w:sz="0" w:space="0" w:color="auto"/>
            <w:bottom w:val="none" w:sz="0" w:space="0" w:color="auto"/>
            <w:right w:val="none" w:sz="0" w:space="0" w:color="auto"/>
          </w:divBdr>
        </w:div>
      </w:divsChild>
    </w:div>
    <w:div w:id="1718506551">
      <w:bodyDiv w:val="1"/>
      <w:marLeft w:val="0"/>
      <w:marRight w:val="0"/>
      <w:marTop w:val="0"/>
      <w:marBottom w:val="0"/>
      <w:divBdr>
        <w:top w:val="none" w:sz="0" w:space="0" w:color="auto"/>
        <w:left w:val="none" w:sz="0" w:space="0" w:color="auto"/>
        <w:bottom w:val="none" w:sz="0" w:space="0" w:color="auto"/>
        <w:right w:val="none" w:sz="0" w:space="0" w:color="auto"/>
      </w:divBdr>
      <w:divsChild>
        <w:div w:id="198402254">
          <w:marLeft w:val="0"/>
          <w:marRight w:val="0"/>
          <w:marTop w:val="0"/>
          <w:marBottom w:val="0"/>
          <w:divBdr>
            <w:top w:val="none" w:sz="0" w:space="0" w:color="auto"/>
            <w:left w:val="none" w:sz="0" w:space="0" w:color="auto"/>
            <w:bottom w:val="none" w:sz="0" w:space="0" w:color="auto"/>
            <w:right w:val="none" w:sz="0" w:space="0" w:color="auto"/>
          </w:divBdr>
        </w:div>
      </w:divsChild>
    </w:div>
    <w:div w:id="1737431781">
      <w:bodyDiv w:val="1"/>
      <w:marLeft w:val="0"/>
      <w:marRight w:val="0"/>
      <w:marTop w:val="0"/>
      <w:marBottom w:val="0"/>
      <w:divBdr>
        <w:top w:val="none" w:sz="0" w:space="0" w:color="auto"/>
        <w:left w:val="none" w:sz="0" w:space="0" w:color="auto"/>
        <w:bottom w:val="none" w:sz="0" w:space="0" w:color="auto"/>
        <w:right w:val="none" w:sz="0" w:space="0" w:color="auto"/>
      </w:divBdr>
      <w:divsChild>
        <w:div w:id="1138497073">
          <w:marLeft w:val="0"/>
          <w:marRight w:val="0"/>
          <w:marTop w:val="0"/>
          <w:marBottom w:val="0"/>
          <w:divBdr>
            <w:top w:val="none" w:sz="0" w:space="0" w:color="auto"/>
            <w:left w:val="none" w:sz="0" w:space="0" w:color="auto"/>
            <w:bottom w:val="none" w:sz="0" w:space="0" w:color="auto"/>
            <w:right w:val="none" w:sz="0" w:space="0" w:color="auto"/>
          </w:divBdr>
          <w:divsChild>
            <w:div w:id="1743479749">
              <w:marLeft w:val="0"/>
              <w:marRight w:val="0"/>
              <w:marTop w:val="0"/>
              <w:marBottom w:val="0"/>
              <w:divBdr>
                <w:top w:val="none" w:sz="0" w:space="0" w:color="auto"/>
                <w:left w:val="none" w:sz="0" w:space="0" w:color="auto"/>
                <w:bottom w:val="none" w:sz="0" w:space="0" w:color="auto"/>
                <w:right w:val="none" w:sz="0" w:space="0" w:color="auto"/>
              </w:divBdr>
              <w:divsChild>
                <w:div w:id="810637017">
                  <w:marLeft w:val="0"/>
                  <w:marRight w:val="0"/>
                  <w:marTop w:val="0"/>
                  <w:marBottom w:val="0"/>
                  <w:divBdr>
                    <w:top w:val="none" w:sz="0" w:space="0" w:color="auto"/>
                    <w:left w:val="none" w:sz="0" w:space="0" w:color="auto"/>
                    <w:bottom w:val="none" w:sz="0" w:space="0" w:color="auto"/>
                    <w:right w:val="none" w:sz="0" w:space="0" w:color="auto"/>
                  </w:divBdr>
                  <w:divsChild>
                    <w:div w:id="531767742">
                      <w:marLeft w:val="0"/>
                      <w:marRight w:val="0"/>
                      <w:marTop w:val="0"/>
                      <w:marBottom w:val="0"/>
                      <w:divBdr>
                        <w:top w:val="none" w:sz="0" w:space="0" w:color="auto"/>
                        <w:left w:val="none" w:sz="0" w:space="0" w:color="auto"/>
                        <w:bottom w:val="none" w:sz="0" w:space="0" w:color="auto"/>
                        <w:right w:val="none" w:sz="0" w:space="0" w:color="auto"/>
                      </w:divBdr>
                    </w:div>
                    <w:div w:id="1670795193">
                      <w:marLeft w:val="0"/>
                      <w:marRight w:val="0"/>
                      <w:marTop w:val="0"/>
                      <w:marBottom w:val="0"/>
                      <w:divBdr>
                        <w:top w:val="none" w:sz="0" w:space="0" w:color="auto"/>
                        <w:left w:val="none" w:sz="0" w:space="0" w:color="auto"/>
                        <w:bottom w:val="none" w:sz="0" w:space="0" w:color="auto"/>
                        <w:right w:val="none" w:sz="0" w:space="0" w:color="auto"/>
                      </w:divBdr>
                      <w:divsChild>
                        <w:div w:id="1960408171">
                          <w:marLeft w:val="0"/>
                          <w:marRight w:val="0"/>
                          <w:marTop w:val="0"/>
                          <w:marBottom w:val="0"/>
                          <w:divBdr>
                            <w:top w:val="none" w:sz="0" w:space="0" w:color="auto"/>
                            <w:left w:val="none" w:sz="0" w:space="0" w:color="auto"/>
                            <w:bottom w:val="none" w:sz="0" w:space="0" w:color="auto"/>
                            <w:right w:val="none" w:sz="0" w:space="0" w:color="auto"/>
                          </w:divBdr>
                        </w:div>
                      </w:divsChild>
                    </w:div>
                    <w:div w:id="180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606">
              <w:marLeft w:val="0"/>
              <w:marRight w:val="0"/>
              <w:marTop w:val="0"/>
              <w:marBottom w:val="0"/>
              <w:divBdr>
                <w:top w:val="none" w:sz="0" w:space="0" w:color="auto"/>
                <w:left w:val="none" w:sz="0" w:space="0" w:color="auto"/>
                <w:bottom w:val="none" w:sz="0" w:space="0" w:color="auto"/>
                <w:right w:val="none" w:sz="0" w:space="0" w:color="auto"/>
              </w:divBdr>
              <w:divsChild>
                <w:div w:id="340621168">
                  <w:marLeft w:val="0"/>
                  <w:marRight w:val="0"/>
                  <w:marTop w:val="0"/>
                  <w:marBottom w:val="0"/>
                  <w:divBdr>
                    <w:top w:val="none" w:sz="0" w:space="0" w:color="auto"/>
                    <w:left w:val="none" w:sz="0" w:space="0" w:color="auto"/>
                    <w:bottom w:val="none" w:sz="0" w:space="0" w:color="auto"/>
                    <w:right w:val="none" w:sz="0" w:space="0" w:color="auto"/>
                  </w:divBdr>
                  <w:divsChild>
                    <w:div w:id="1339230933">
                      <w:marLeft w:val="0"/>
                      <w:marRight w:val="0"/>
                      <w:marTop w:val="0"/>
                      <w:marBottom w:val="0"/>
                      <w:divBdr>
                        <w:top w:val="none" w:sz="0" w:space="0" w:color="auto"/>
                        <w:left w:val="none" w:sz="0" w:space="0" w:color="auto"/>
                        <w:bottom w:val="none" w:sz="0" w:space="0" w:color="auto"/>
                        <w:right w:val="none" w:sz="0" w:space="0" w:color="auto"/>
                      </w:divBdr>
                    </w:div>
                    <w:div w:id="828792573">
                      <w:marLeft w:val="0"/>
                      <w:marRight w:val="0"/>
                      <w:marTop w:val="0"/>
                      <w:marBottom w:val="0"/>
                      <w:divBdr>
                        <w:top w:val="none" w:sz="0" w:space="0" w:color="auto"/>
                        <w:left w:val="none" w:sz="0" w:space="0" w:color="auto"/>
                        <w:bottom w:val="none" w:sz="0" w:space="0" w:color="auto"/>
                        <w:right w:val="none" w:sz="0" w:space="0" w:color="auto"/>
                      </w:divBdr>
                      <w:divsChild>
                        <w:div w:id="545456820">
                          <w:marLeft w:val="0"/>
                          <w:marRight w:val="0"/>
                          <w:marTop w:val="0"/>
                          <w:marBottom w:val="0"/>
                          <w:divBdr>
                            <w:top w:val="none" w:sz="0" w:space="0" w:color="auto"/>
                            <w:left w:val="none" w:sz="0" w:space="0" w:color="auto"/>
                            <w:bottom w:val="none" w:sz="0" w:space="0" w:color="auto"/>
                            <w:right w:val="none" w:sz="0" w:space="0" w:color="auto"/>
                          </w:divBdr>
                        </w:div>
                      </w:divsChild>
                    </w:div>
                    <w:div w:id="6073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40404">
      <w:bodyDiv w:val="1"/>
      <w:marLeft w:val="0"/>
      <w:marRight w:val="0"/>
      <w:marTop w:val="0"/>
      <w:marBottom w:val="0"/>
      <w:divBdr>
        <w:top w:val="none" w:sz="0" w:space="0" w:color="auto"/>
        <w:left w:val="none" w:sz="0" w:space="0" w:color="auto"/>
        <w:bottom w:val="none" w:sz="0" w:space="0" w:color="auto"/>
        <w:right w:val="none" w:sz="0" w:space="0" w:color="auto"/>
      </w:divBdr>
      <w:divsChild>
        <w:div w:id="613096870">
          <w:marLeft w:val="0"/>
          <w:marRight w:val="0"/>
          <w:marTop w:val="0"/>
          <w:marBottom w:val="0"/>
          <w:divBdr>
            <w:top w:val="none" w:sz="0" w:space="0" w:color="auto"/>
            <w:left w:val="none" w:sz="0" w:space="0" w:color="auto"/>
            <w:bottom w:val="none" w:sz="0" w:space="0" w:color="auto"/>
            <w:right w:val="none" w:sz="0" w:space="0" w:color="auto"/>
          </w:divBdr>
        </w:div>
      </w:divsChild>
    </w:div>
    <w:div w:id="1925454920">
      <w:bodyDiv w:val="1"/>
      <w:marLeft w:val="0"/>
      <w:marRight w:val="0"/>
      <w:marTop w:val="0"/>
      <w:marBottom w:val="0"/>
      <w:divBdr>
        <w:top w:val="none" w:sz="0" w:space="0" w:color="auto"/>
        <w:left w:val="none" w:sz="0" w:space="0" w:color="auto"/>
        <w:bottom w:val="none" w:sz="0" w:space="0" w:color="auto"/>
        <w:right w:val="none" w:sz="0" w:space="0" w:color="auto"/>
      </w:divBdr>
      <w:divsChild>
        <w:div w:id="1371347175">
          <w:marLeft w:val="0"/>
          <w:marRight w:val="0"/>
          <w:marTop w:val="0"/>
          <w:marBottom w:val="0"/>
          <w:divBdr>
            <w:top w:val="none" w:sz="0" w:space="0" w:color="auto"/>
            <w:left w:val="none" w:sz="0" w:space="0" w:color="auto"/>
            <w:bottom w:val="none" w:sz="0" w:space="0" w:color="auto"/>
            <w:right w:val="none" w:sz="0" w:space="0" w:color="auto"/>
          </w:divBdr>
        </w:div>
      </w:divsChild>
    </w:div>
    <w:div w:id="1971087755">
      <w:bodyDiv w:val="1"/>
      <w:marLeft w:val="0"/>
      <w:marRight w:val="0"/>
      <w:marTop w:val="0"/>
      <w:marBottom w:val="0"/>
      <w:divBdr>
        <w:top w:val="none" w:sz="0" w:space="0" w:color="auto"/>
        <w:left w:val="none" w:sz="0" w:space="0" w:color="auto"/>
        <w:bottom w:val="none" w:sz="0" w:space="0" w:color="auto"/>
        <w:right w:val="none" w:sz="0" w:space="0" w:color="auto"/>
      </w:divBdr>
      <w:divsChild>
        <w:div w:id="1382098172">
          <w:marLeft w:val="0"/>
          <w:marRight w:val="0"/>
          <w:marTop w:val="0"/>
          <w:marBottom w:val="0"/>
          <w:divBdr>
            <w:top w:val="none" w:sz="0" w:space="0" w:color="auto"/>
            <w:left w:val="none" w:sz="0" w:space="0" w:color="auto"/>
            <w:bottom w:val="none" w:sz="0" w:space="0" w:color="auto"/>
            <w:right w:val="none" w:sz="0" w:space="0" w:color="auto"/>
          </w:divBdr>
          <w:divsChild>
            <w:div w:id="1874994175">
              <w:marLeft w:val="0"/>
              <w:marRight w:val="0"/>
              <w:marTop w:val="0"/>
              <w:marBottom w:val="0"/>
              <w:divBdr>
                <w:top w:val="none" w:sz="0" w:space="0" w:color="auto"/>
                <w:left w:val="none" w:sz="0" w:space="0" w:color="auto"/>
                <w:bottom w:val="none" w:sz="0" w:space="0" w:color="auto"/>
                <w:right w:val="none" w:sz="0" w:space="0" w:color="auto"/>
              </w:divBdr>
              <w:divsChild>
                <w:div w:id="1072697792">
                  <w:marLeft w:val="0"/>
                  <w:marRight w:val="0"/>
                  <w:marTop w:val="0"/>
                  <w:marBottom w:val="0"/>
                  <w:divBdr>
                    <w:top w:val="none" w:sz="0" w:space="0" w:color="auto"/>
                    <w:left w:val="none" w:sz="0" w:space="0" w:color="auto"/>
                    <w:bottom w:val="none" w:sz="0" w:space="0" w:color="auto"/>
                    <w:right w:val="none" w:sz="0" w:space="0" w:color="auto"/>
                  </w:divBdr>
                  <w:divsChild>
                    <w:div w:id="1588617996">
                      <w:marLeft w:val="0"/>
                      <w:marRight w:val="0"/>
                      <w:marTop w:val="0"/>
                      <w:marBottom w:val="0"/>
                      <w:divBdr>
                        <w:top w:val="none" w:sz="0" w:space="0" w:color="auto"/>
                        <w:left w:val="none" w:sz="0" w:space="0" w:color="auto"/>
                        <w:bottom w:val="none" w:sz="0" w:space="0" w:color="auto"/>
                        <w:right w:val="none" w:sz="0" w:space="0" w:color="auto"/>
                      </w:divBdr>
                    </w:div>
                    <w:div w:id="1729301456">
                      <w:marLeft w:val="0"/>
                      <w:marRight w:val="0"/>
                      <w:marTop w:val="0"/>
                      <w:marBottom w:val="0"/>
                      <w:divBdr>
                        <w:top w:val="none" w:sz="0" w:space="0" w:color="auto"/>
                        <w:left w:val="none" w:sz="0" w:space="0" w:color="auto"/>
                        <w:bottom w:val="none" w:sz="0" w:space="0" w:color="auto"/>
                        <w:right w:val="none" w:sz="0" w:space="0" w:color="auto"/>
                      </w:divBdr>
                      <w:divsChild>
                        <w:div w:id="1724284272">
                          <w:marLeft w:val="0"/>
                          <w:marRight w:val="0"/>
                          <w:marTop w:val="0"/>
                          <w:marBottom w:val="0"/>
                          <w:divBdr>
                            <w:top w:val="none" w:sz="0" w:space="0" w:color="auto"/>
                            <w:left w:val="none" w:sz="0" w:space="0" w:color="auto"/>
                            <w:bottom w:val="none" w:sz="0" w:space="0" w:color="auto"/>
                            <w:right w:val="none" w:sz="0" w:space="0" w:color="auto"/>
                          </w:divBdr>
                        </w:div>
                      </w:divsChild>
                    </w:div>
                    <w:div w:id="11257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9472">
              <w:marLeft w:val="0"/>
              <w:marRight w:val="0"/>
              <w:marTop w:val="0"/>
              <w:marBottom w:val="0"/>
              <w:divBdr>
                <w:top w:val="none" w:sz="0" w:space="0" w:color="auto"/>
                <w:left w:val="none" w:sz="0" w:space="0" w:color="auto"/>
                <w:bottom w:val="none" w:sz="0" w:space="0" w:color="auto"/>
                <w:right w:val="none" w:sz="0" w:space="0" w:color="auto"/>
              </w:divBdr>
              <w:divsChild>
                <w:div w:id="1563909078">
                  <w:marLeft w:val="0"/>
                  <w:marRight w:val="0"/>
                  <w:marTop w:val="0"/>
                  <w:marBottom w:val="0"/>
                  <w:divBdr>
                    <w:top w:val="none" w:sz="0" w:space="0" w:color="auto"/>
                    <w:left w:val="none" w:sz="0" w:space="0" w:color="auto"/>
                    <w:bottom w:val="none" w:sz="0" w:space="0" w:color="auto"/>
                    <w:right w:val="none" w:sz="0" w:space="0" w:color="auto"/>
                  </w:divBdr>
                  <w:divsChild>
                    <w:div w:id="1173954829">
                      <w:marLeft w:val="0"/>
                      <w:marRight w:val="0"/>
                      <w:marTop w:val="0"/>
                      <w:marBottom w:val="0"/>
                      <w:divBdr>
                        <w:top w:val="none" w:sz="0" w:space="0" w:color="auto"/>
                        <w:left w:val="none" w:sz="0" w:space="0" w:color="auto"/>
                        <w:bottom w:val="none" w:sz="0" w:space="0" w:color="auto"/>
                        <w:right w:val="none" w:sz="0" w:space="0" w:color="auto"/>
                      </w:divBdr>
                    </w:div>
                    <w:div w:id="351734161">
                      <w:marLeft w:val="0"/>
                      <w:marRight w:val="0"/>
                      <w:marTop w:val="0"/>
                      <w:marBottom w:val="0"/>
                      <w:divBdr>
                        <w:top w:val="none" w:sz="0" w:space="0" w:color="auto"/>
                        <w:left w:val="none" w:sz="0" w:space="0" w:color="auto"/>
                        <w:bottom w:val="none" w:sz="0" w:space="0" w:color="auto"/>
                        <w:right w:val="none" w:sz="0" w:space="0" w:color="auto"/>
                      </w:divBdr>
                      <w:divsChild>
                        <w:div w:id="2036806300">
                          <w:marLeft w:val="0"/>
                          <w:marRight w:val="0"/>
                          <w:marTop w:val="0"/>
                          <w:marBottom w:val="0"/>
                          <w:divBdr>
                            <w:top w:val="none" w:sz="0" w:space="0" w:color="auto"/>
                            <w:left w:val="none" w:sz="0" w:space="0" w:color="auto"/>
                            <w:bottom w:val="none" w:sz="0" w:space="0" w:color="auto"/>
                            <w:right w:val="none" w:sz="0" w:space="0" w:color="auto"/>
                          </w:divBdr>
                        </w:div>
                      </w:divsChild>
                    </w:div>
                    <w:div w:id="3762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367606">
      <w:bodyDiv w:val="1"/>
      <w:marLeft w:val="0"/>
      <w:marRight w:val="0"/>
      <w:marTop w:val="0"/>
      <w:marBottom w:val="0"/>
      <w:divBdr>
        <w:top w:val="none" w:sz="0" w:space="0" w:color="auto"/>
        <w:left w:val="none" w:sz="0" w:space="0" w:color="auto"/>
        <w:bottom w:val="none" w:sz="0" w:space="0" w:color="auto"/>
        <w:right w:val="none" w:sz="0" w:space="0" w:color="auto"/>
      </w:divBdr>
      <w:divsChild>
        <w:div w:id="1221675777">
          <w:marLeft w:val="0"/>
          <w:marRight w:val="0"/>
          <w:marTop w:val="0"/>
          <w:marBottom w:val="0"/>
          <w:divBdr>
            <w:top w:val="none" w:sz="0" w:space="0" w:color="auto"/>
            <w:left w:val="none" w:sz="0" w:space="0" w:color="auto"/>
            <w:bottom w:val="none" w:sz="0" w:space="0" w:color="auto"/>
            <w:right w:val="none" w:sz="0" w:space="0" w:color="auto"/>
          </w:divBdr>
        </w:div>
      </w:divsChild>
    </w:div>
    <w:div w:id="2056659497">
      <w:bodyDiv w:val="1"/>
      <w:marLeft w:val="0"/>
      <w:marRight w:val="0"/>
      <w:marTop w:val="0"/>
      <w:marBottom w:val="0"/>
      <w:divBdr>
        <w:top w:val="none" w:sz="0" w:space="0" w:color="auto"/>
        <w:left w:val="none" w:sz="0" w:space="0" w:color="auto"/>
        <w:bottom w:val="none" w:sz="0" w:space="0" w:color="auto"/>
        <w:right w:val="none" w:sz="0" w:space="0" w:color="auto"/>
      </w:divBdr>
      <w:divsChild>
        <w:div w:id="619605503">
          <w:marLeft w:val="0"/>
          <w:marRight w:val="0"/>
          <w:marTop w:val="0"/>
          <w:marBottom w:val="0"/>
          <w:divBdr>
            <w:top w:val="none" w:sz="0" w:space="0" w:color="auto"/>
            <w:left w:val="none" w:sz="0" w:space="0" w:color="auto"/>
            <w:bottom w:val="none" w:sz="0" w:space="0" w:color="auto"/>
            <w:right w:val="none" w:sz="0" w:space="0" w:color="auto"/>
          </w:divBdr>
        </w:div>
      </w:divsChild>
    </w:div>
    <w:div w:id="2076203666">
      <w:bodyDiv w:val="1"/>
      <w:marLeft w:val="0"/>
      <w:marRight w:val="0"/>
      <w:marTop w:val="0"/>
      <w:marBottom w:val="0"/>
      <w:divBdr>
        <w:top w:val="none" w:sz="0" w:space="0" w:color="auto"/>
        <w:left w:val="none" w:sz="0" w:space="0" w:color="auto"/>
        <w:bottom w:val="none" w:sz="0" w:space="0" w:color="auto"/>
        <w:right w:val="none" w:sz="0" w:space="0" w:color="auto"/>
      </w:divBdr>
      <w:divsChild>
        <w:div w:id="1540044170">
          <w:marLeft w:val="0"/>
          <w:marRight w:val="0"/>
          <w:marTop w:val="0"/>
          <w:marBottom w:val="0"/>
          <w:divBdr>
            <w:top w:val="none" w:sz="0" w:space="0" w:color="auto"/>
            <w:left w:val="none" w:sz="0" w:space="0" w:color="auto"/>
            <w:bottom w:val="none" w:sz="0" w:space="0" w:color="auto"/>
            <w:right w:val="none" w:sz="0" w:space="0" w:color="auto"/>
          </w:divBdr>
        </w:div>
      </w:divsChild>
    </w:div>
    <w:div w:id="2117089702">
      <w:bodyDiv w:val="1"/>
      <w:marLeft w:val="0"/>
      <w:marRight w:val="0"/>
      <w:marTop w:val="0"/>
      <w:marBottom w:val="0"/>
      <w:divBdr>
        <w:top w:val="none" w:sz="0" w:space="0" w:color="auto"/>
        <w:left w:val="none" w:sz="0" w:space="0" w:color="auto"/>
        <w:bottom w:val="none" w:sz="0" w:space="0" w:color="auto"/>
        <w:right w:val="none" w:sz="0" w:space="0" w:color="auto"/>
      </w:divBdr>
      <w:divsChild>
        <w:div w:id="1023171660">
          <w:marLeft w:val="0"/>
          <w:marRight w:val="0"/>
          <w:marTop w:val="0"/>
          <w:marBottom w:val="0"/>
          <w:divBdr>
            <w:top w:val="none" w:sz="0" w:space="0" w:color="auto"/>
            <w:left w:val="none" w:sz="0" w:space="0" w:color="auto"/>
            <w:bottom w:val="none" w:sz="0" w:space="0" w:color="auto"/>
            <w:right w:val="none" w:sz="0" w:space="0" w:color="auto"/>
          </w:divBdr>
          <w:divsChild>
            <w:div w:id="223687821">
              <w:marLeft w:val="0"/>
              <w:marRight w:val="0"/>
              <w:marTop w:val="0"/>
              <w:marBottom w:val="0"/>
              <w:divBdr>
                <w:top w:val="none" w:sz="0" w:space="0" w:color="auto"/>
                <w:left w:val="none" w:sz="0" w:space="0" w:color="auto"/>
                <w:bottom w:val="none" w:sz="0" w:space="0" w:color="auto"/>
                <w:right w:val="none" w:sz="0" w:space="0" w:color="auto"/>
              </w:divBdr>
              <w:divsChild>
                <w:div w:id="1028915517">
                  <w:marLeft w:val="0"/>
                  <w:marRight w:val="0"/>
                  <w:marTop w:val="0"/>
                  <w:marBottom w:val="0"/>
                  <w:divBdr>
                    <w:top w:val="none" w:sz="0" w:space="0" w:color="auto"/>
                    <w:left w:val="none" w:sz="0" w:space="0" w:color="auto"/>
                    <w:bottom w:val="none" w:sz="0" w:space="0" w:color="auto"/>
                    <w:right w:val="none" w:sz="0" w:space="0" w:color="auto"/>
                  </w:divBdr>
                  <w:divsChild>
                    <w:div w:id="574705350">
                      <w:marLeft w:val="0"/>
                      <w:marRight w:val="0"/>
                      <w:marTop w:val="0"/>
                      <w:marBottom w:val="0"/>
                      <w:divBdr>
                        <w:top w:val="none" w:sz="0" w:space="0" w:color="auto"/>
                        <w:left w:val="none" w:sz="0" w:space="0" w:color="auto"/>
                        <w:bottom w:val="none" w:sz="0" w:space="0" w:color="auto"/>
                        <w:right w:val="none" w:sz="0" w:space="0" w:color="auto"/>
                      </w:divBdr>
                    </w:div>
                    <w:div w:id="392387635">
                      <w:marLeft w:val="0"/>
                      <w:marRight w:val="0"/>
                      <w:marTop w:val="0"/>
                      <w:marBottom w:val="0"/>
                      <w:divBdr>
                        <w:top w:val="none" w:sz="0" w:space="0" w:color="auto"/>
                        <w:left w:val="none" w:sz="0" w:space="0" w:color="auto"/>
                        <w:bottom w:val="none" w:sz="0" w:space="0" w:color="auto"/>
                        <w:right w:val="none" w:sz="0" w:space="0" w:color="auto"/>
                      </w:divBdr>
                      <w:divsChild>
                        <w:div w:id="528841674">
                          <w:marLeft w:val="0"/>
                          <w:marRight w:val="0"/>
                          <w:marTop w:val="0"/>
                          <w:marBottom w:val="0"/>
                          <w:divBdr>
                            <w:top w:val="none" w:sz="0" w:space="0" w:color="auto"/>
                            <w:left w:val="none" w:sz="0" w:space="0" w:color="auto"/>
                            <w:bottom w:val="none" w:sz="0" w:space="0" w:color="auto"/>
                            <w:right w:val="none" w:sz="0" w:space="0" w:color="auto"/>
                          </w:divBdr>
                        </w:div>
                      </w:divsChild>
                    </w:div>
                    <w:div w:id="8168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2374</TotalTime>
  <Pages>8</Pages>
  <Words>2675</Words>
  <Characters>14880</Characters>
  <Application>Microsoft Office Word</Application>
  <DocSecurity>0</DocSecurity>
  <Lines>372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Nyenzo</dc:creator>
  <cp:keywords/>
  <dc:description/>
  <cp:lastModifiedBy>Nyenzo</cp:lastModifiedBy>
  <cp:revision>4</cp:revision>
  <dcterms:created xsi:type="dcterms:W3CDTF">2025-04-05T12:21:00Z</dcterms:created>
  <dcterms:modified xsi:type="dcterms:W3CDTF">2025-04-08T12:50:00Z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2c445bb6-deb6-4b2a-9525-276ec6d3a57a</vt:lpwstr>
  </property>
</Properties>
</file>