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0"/>
        </w:rPr>
        <w:t>FloodGuard Myanmar: GeoAI Flood Susceptibility and Early Warning MVP</w:t>
      </w:r>
    </w:p>
    <w:p>
      <w:pPr>
        <w:jc w:val="center"/>
      </w:pPr>
      <w:r>
        <w:rPr>
          <w:rFonts w:ascii="Calibri" w:hAnsi="Calibri"/>
          <w:b w:val="0"/>
          <w:color w:val="555555"/>
          <w:sz w:val="20"/>
        </w:rPr>
        <w:t>HACK-MM-001_PDGS_v01 | ASEAN GeoAI Fusion 2026 Virtual Hackathon</w:t>
      </w:r>
    </w:p>
    <w:p>
      <w:pPr>
        <w:pStyle w:val="Heading1"/>
      </w:pPr>
      <w:r>
        <w:rPr>
          <w:rFonts w:ascii="Calibri" w:hAnsi="Calibri"/>
          <w:b/>
          <w:color w:val="1F4D78"/>
          <w:sz w:val="30"/>
        </w:rPr>
        <w:t>Concise Overview</w:t>
      </w:r>
    </w:p>
    <w:p>
      <w:r>
        <w:rPr>
          <w:rFonts w:ascii="Calibri" w:hAnsi="Calibri"/>
          <w:b w:val="0"/>
          <w:color w:val="222222"/>
          <w:sz w:val="22"/>
        </w:rPr>
        <w:t>FloodGuard Myanmar is a GeoAI and IoT-informed flood intelligence MVP for Maubin Township, Ayeyarwady Region. It combines township terrain, waterways, land cover, rainfall history, historical flood evidence, weather forecasts, and future sensor ingestion to help local responders identify flood-prone areas and prioritize monitoring before a full operational warning system is available.</w:t>
      </w:r>
    </w:p>
    <w:p>
      <w:pPr>
        <w:pStyle w:val="Heading1"/>
      </w:pPr>
      <w:r>
        <w:rPr>
          <w:rFonts w:ascii="Calibri" w:hAnsi="Calibri"/>
          <w:b/>
          <w:color w:val="1F4D78"/>
          <w:sz w:val="30"/>
        </w:rPr>
        <w:t>Problem</w:t>
      </w:r>
    </w:p>
    <w:p>
      <w:pPr>
        <w:pStyle w:val="ListBullet"/>
      </w:pPr>
      <w:r>
        <w:rPr>
          <w:rFonts w:ascii="Calibri" w:hAnsi="Calibri"/>
          <w:b w:val="0"/>
          <w:color w:val="222222"/>
          <w:sz w:val="22"/>
        </w:rPr>
        <w:t>Flood-prone communities often lack localized, timely, and easy-to-understand flood risk information.</w:t>
      </w:r>
    </w:p>
    <w:p>
      <w:pPr>
        <w:pStyle w:val="ListBullet"/>
      </w:pPr>
      <w:r>
        <w:rPr>
          <w:rFonts w:ascii="Calibri" w:hAnsi="Calibri"/>
          <w:b w:val="0"/>
          <w:color w:val="222222"/>
          <w:sz w:val="22"/>
        </w:rPr>
        <w:t>Satellite and reanalysis datasets help regional screening but are delayed, coarse, or historical; they cannot replace local observations.</w:t>
      </w:r>
    </w:p>
    <w:p>
      <w:pPr>
        <w:pStyle w:val="ListBullet"/>
      </w:pPr>
      <w:r>
        <w:rPr>
          <w:rFonts w:ascii="Calibri" w:hAnsi="Calibri"/>
          <w:b w:val="0"/>
          <w:color w:val="222222"/>
          <w:sz w:val="22"/>
        </w:rPr>
        <w:t>Decision makers need transparent map outputs that distinguish historical susceptibility, rainfall context, sensor thresholds, and operational limitations.</w:t>
      </w:r>
    </w:p>
    <w:p>
      <w:pPr>
        <w:pStyle w:val="Heading1"/>
      </w:pPr>
      <w:r>
        <w:rPr>
          <w:rFonts w:ascii="Calibri" w:hAnsi="Calibri"/>
          <w:b/>
          <w:color w:val="1F4D78"/>
          <w:sz w:val="30"/>
        </w:rPr>
        <w:t>Target Users and Beneficiaries</w:t>
      </w:r>
    </w:p>
    <w:p>
      <w:pPr>
        <w:pStyle w:val="ListBullet"/>
      </w:pPr>
      <w:r>
        <w:rPr>
          <w:rFonts w:ascii="Calibri" w:hAnsi="Calibri"/>
          <w:b w:val="0"/>
          <w:color w:val="222222"/>
          <w:sz w:val="22"/>
        </w:rPr>
        <w:t>Township disaster management teams and local administrators.</w:t>
      </w:r>
    </w:p>
    <w:p>
      <w:pPr>
        <w:pStyle w:val="ListBullet"/>
      </w:pPr>
      <w:r>
        <w:rPr>
          <w:rFonts w:ascii="Calibri" w:hAnsi="Calibri"/>
          <w:b w:val="0"/>
          <w:color w:val="222222"/>
          <w:sz w:val="22"/>
        </w:rPr>
        <w:t>Community volunteers and village-level flood monitors.</w:t>
      </w:r>
    </w:p>
    <w:p>
      <w:pPr>
        <w:pStyle w:val="ListBullet"/>
      </w:pPr>
      <w:r>
        <w:rPr>
          <w:rFonts w:ascii="Calibri" w:hAnsi="Calibri"/>
          <w:b w:val="0"/>
          <w:color w:val="222222"/>
          <w:sz w:val="22"/>
        </w:rPr>
        <w:t>Residents in low-lying or waterway-adjacent settlements.</w:t>
      </w:r>
    </w:p>
    <w:p>
      <w:pPr>
        <w:pStyle w:val="ListBullet"/>
      </w:pPr>
      <w:r>
        <w:rPr>
          <w:rFonts w:ascii="Calibri" w:hAnsi="Calibri"/>
          <w:b w:val="0"/>
          <w:color w:val="222222"/>
          <w:sz w:val="22"/>
        </w:rPr>
        <w:t>Humanitarian, planning, and infrastructure teams that need spatial prioritization evidence.</w:t>
      </w:r>
    </w:p>
    <w:p>
      <w:pPr>
        <w:pStyle w:val="Heading1"/>
      </w:pPr>
      <w:r>
        <w:rPr>
          <w:rFonts w:ascii="Calibri" w:hAnsi="Calibri"/>
          <w:b/>
          <w:color w:val="1F4D78"/>
          <w:sz w:val="30"/>
        </w:rPr>
        <w:t>Datasets and Data Sources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rFonts w:ascii="Calibri" w:hAnsi="Calibri"/>
                <w:b/>
                <w:color w:val="0B2545"/>
                <w:sz w:val="22"/>
              </w:rPr>
              <w:t>Data Source</w:t>
            </w:r>
          </w:p>
        </w:tc>
        <w:tc>
          <w:tcPr>
            <w:tcW w:type="dxa" w:w="3312"/>
          </w:tcPr>
          <w:p>
            <w:r/>
            <w:r>
              <w:rPr>
                <w:rFonts w:ascii="Calibri" w:hAnsi="Calibri"/>
                <w:b/>
                <w:color w:val="0B2545"/>
                <w:sz w:val="22"/>
              </w:rPr>
              <w:t>Use in MVP</w:t>
            </w:r>
          </w:p>
        </w:tc>
        <w:tc>
          <w:tcPr>
            <w:tcW w:type="dxa" w:w="3312"/>
          </w:tcPr>
          <w:p>
            <w:r/>
            <w:r>
              <w:rPr>
                <w:rFonts w:ascii="Calibri" w:hAnsi="Calibri"/>
                <w:b/>
                <w:color w:val="0B2545"/>
                <w:sz w:val="22"/>
              </w:rPr>
              <w:t>Current Notes</w:t>
            </w:r>
          </w:p>
        </w:tc>
      </w:tr>
      <w:tr>
        <w:tc>
          <w:tcPr>
            <w:tcW w:type="dxa" w:w="3312"/>
          </w:tcPr>
          <w:p>
            <w:r/>
            <w:r>
              <w:rPr>
                <w:rFonts w:ascii="Calibri" w:hAnsi="Calibri"/>
                <w:b w:val="0"/>
                <w:color w:val="222222"/>
                <w:sz w:val="20"/>
              </w:rPr>
              <w:t>MIMU/UNOSAT township boundary</w:t>
            </w:r>
          </w:p>
        </w:tc>
        <w:tc>
          <w:tcPr>
            <w:tcW w:type="dxa" w:w="3312"/>
          </w:tcPr>
          <w:p>
            <w:r/>
            <w:r>
              <w:rPr>
                <w:rFonts w:ascii="Calibri" w:hAnsi="Calibri"/>
                <w:b w:val="0"/>
                <w:color w:val="222222"/>
                <w:sz w:val="20"/>
              </w:rPr>
              <w:t>Clipping, map outline, analysis extent</w:t>
            </w:r>
          </w:p>
        </w:tc>
        <w:tc>
          <w:tcPr>
            <w:tcW w:type="dxa" w:w="3312"/>
          </w:tcPr>
          <w:p>
            <w:r/>
            <w:r>
              <w:rPr>
                <w:rFonts w:ascii="Calibri" w:hAnsi="Calibri"/>
                <w:b w:val="0"/>
                <w:color w:val="222222"/>
                <w:sz w:val="20"/>
              </w:rPr>
              <w:t>Public-use permission should be confirmed before public deployment.</w:t>
            </w:r>
          </w:p>
        </w:tc>
      </w:tr>
      <w:tr>
        <w:tc>
          <w:tcPr>
            <w:tcW w:type="dxa" w:w="3312"/>
          </w:tcPr>
          <w:p>
            <w:r/>
            <w:r>
              <w:rPr>
                <w:rFonts w:ascii="Calibri" w:hAnsi="Calibri"/>
                <w:b w:val="0"/>
                <w:color w:val="222222"/>
                <w:sz w:val="20"/>
              </w:rPr>
              <w:t>Copernicus DEM GLO-30</w:t>
            </w:r>
          </w:p>
        </w:tc>
        <w:tc>
          <w:tcPr>
            <w:tcW w:type="dxa" w:w="3312"/>
          </w:tcPr>
          <w:p>
            <w:r/>
            <w:r>
              <w:rPr>
                <w:rFonts w:ascii="Calibri" w:hAnsi="Calibri"/>
                <w:b w:val="0"/>
                <w:color w:val="222222"/>
                <w:sz w:val="20"/>
              </w:rPr>
              <w:t>Elevation, relief, 500 m terrain cells</w:t>
            </w:r>
          </w:p>
        </w:tc>
        <w:tc>
          <w:tcPr>
            <w:tcW w:type="dxa" w:w="3312"/>
          </w:tcPr>
          <w:p>
            <w:r/>
            <w:r>
              <w:rPr>
                <w:rFonts w:ascii="Calibri" w:hAnsi="Calibri"/>
                <w:b w:val="0"/>
                <w:color w:val="222222"/>
                <w:sz w:val="20"/>
              </w:rPr>
              <w:t>5,549 township-clipped cells; DSM limitations in low-relief areas.</w:t>
            </w:r>
          </w:p>
        </w:tc>
      </w:tr>
      <w:tr>
        <w:tc>
          <w:tcPr>
            <w:tcW w:type="dxa" w:w="3312"/>
          </w:tcPr>
          <w:p>
            <w:r/>
            <w:r>
              <w:rPr>
                <w:rFonts w:ascii="Calibri" w:hAnsi="Calibri"/>
                <w:b w:val="0"/>
                <w:color w:val="222222"/>
                <w:sz w:val="20"/>
              </w:rPr>
              <w:t>OpenStreetMap waterways</w:t>
            </w:r>
          </w:p>
        </w:tc>
        <w:tc>
          <w:tcPr>
            <w:tcW w:type="dxa" w:w="3312"/>
          </w:tcPr>
          <w:p>
            <w:r/>
            <w:r>
              <w:rPr>
                <w:rFonts w:ascii="Calibri" w:hAnsi="Calibri"/>
                <w:b w:val="0"/>
                <w:color w:val="222222"/>
                <w:sz w:val="20"/>
              </w:rPr>
              <w:t>River/canal proximity and map overlays</w:t>
            </w:r>
          </w:p>
        </w:tc>
        <w:tc>
          <w:tcPr>
            <w:tcW w:type="dxa" w:w="3312"/>
          </w:tcPr>
          <w:p>
            <w:r/>
            <w:r>
              <w:rPr>
                <w:rFonts w:ascii="Calibri" w:hAnsi="Calibri"/>
                <w:b w:val="0"/>
                <w:color w:val="222222"/>
                <w:sz w:val="20"/>
              </w:rPr>
              <w:t>282 river segments and 21 canal segments; ODbL attribution required.</w:t>
            </w:r>
          </w:p>
        </w:tc>
      </w:tr>
      <w:tr>
        <w:tc>
          <w:tcPr>
            <w:tcW w:type="dxa" w:w="3312"/>
          </w:tcPr>
          <w:p>
            <w:r/>
            <w:r>
              <w:rPr>
                <w:rFonts w:ascii="Calibri" w:hAnsi="Calibri"/>
                <w:b w:val="0"/>
                <w:color w:val="222222"/>
                <w:sz w:val="20"/>
              </w:rPr>
              <w:t>ESA WorldCover 2021</w:t>
            </w:r>
          </w:p>
        </w:tc>
        <w:tc>
          <w:tcPr>
            <w:tcW w:type="dxa" w:w="3312"/>
          </w:tcPr>
          <w:p>
            <w:r/>
            <w:r>
              <w:rPr>
                <w:rFonts w:ascii="Calibri" w:hAnsi="Calibri"/>
                <w:b w:val="0"/>
                <w:color w:val="222222"/>
                <w:sz w:val="20"/>
              </w:rPr>
              <w:t>Land-cover shares per terrain cell</w:t>
            </w:r>
          </w:p>
        </w:tc>
        <w:tc>
          <w:tcPr>
            <w:tcW w:type="dxa" w:w="3312"/>
          </w:tcPr>
          <w:p>
            <w:r/>
            <w:r>
              <w:rPr>
                <w:rFonts w:ascii="Calibri" w:hAnsi="Calibri"/>
                <w:b w:val="0"/>
                <w:color w:val="222222"/>
                <w:sz w:val="20"/>
              </w:rPr>
              <w:t>10 m reference snapshot; temporal mismatch for older floods.</w:t>
            </w:r>
          </w:p>
        </w:tc>
      </w:tr>
      <w:tr>
        <w:tc>
          <w:tcPr>
            <w:tcW w:type="dxa" w:w="3312"/>
          </w:tcPr>
          <w:p>
            <w:r/>
            <w:r>
              <w:rPr>
                <w:rFonts w:ascii="Calibri" w:hAnsi="Calibri"/>
                <w:b w:val="0"/>
                <w:color w:val="222222"/>
                <w:sz w:val="20"/>
              </w:rPr>
              <w:t>ERA5 rainfall history</w:t>
            </w:r>
          </w:p>
        </w:tc>
        <w:tc>
          <w:tcPr>
            <w:tcW w:type="dxa" w:w="3312"/>
          </w:tcPr>
          <w:p>
            <w:r/>
            <w:r>
              <w:rPr>
                <w:rFonts w:ascii="Calibri" w:hAnsi="Calibri"/>
                <w:b w:val="0"/>
                <w:color w:val="222222"/>
                <w:sz w:val="20"/>
              </w:rPr>
              <w:t>Daily rainfall history and rolling accumulations</w:t>
            </w:r>
          </w:p>
        </w:tc>
        <w:tc>
          <w:tcPr>
            <w:tcW w:type="dxa" w:w="3312"/>
          </w:tcPr>
          <w:p>
            <w:r/>
            <w:r>
              <w:rPr>
                <w:rFonts w:ascii="Calibri" w:hAnsi="Calibri"/>
                <w:b w:val="0"/>
                <w:color w:val="222222"/>
                <w:sz w:val="20"/>
              </w:rPr>
              <w:t>9,497 daily rows covering 2000-01-01 to 2025-12-31.</w:t>
            </w:r>
          </w:p>
        </w:tc>
      </w:tr>
      <w:tr>
        <w:tc>
          <w:tcPr>
            <w:tcW w:type="dxa" w:w="3312"/>
          </w:tcPr>
          <w:p>
            <w:r/>
            <w:r>
              <w:rPr>
                <w:rFonts w:ascii="Calibri" w:hAnsi="Calibri"/>
                <w:b w:val="0"/>
                <w:color w:val="222222"/>
                <w:sz w:val="20"/>
              </w:rPr>
              <w:t>Global Flood Database / MODIS</w:t>
            </w:r>
          </w:p>
        </w:tc>
        <w:tc>
          <w:tcPr>
            <w:tcW w:type="dxa" w:w="3312"/>
          </w:tcPr>
          <w:p>
            <w:r/>
            <w:r>
              <w:rPr>
                <w:rFonts w:ascii="Calibri" w:hAnsi="Calibri"/>
                <w:b w:val="0"/>
                <w:color w:val="222222"/>
                <w:sz w:val="20"/>
              </w:rPr>
              <w:t>Historical flood frequency and event labels</w:t>
            </w:r>
          </w:p>
        </w:tc>
        <w:tc>
          <w:tcPr>
            <w:tcW w:type="dxa" w:w="3312"/>
          </w:tcPr>
          <w:p>
            <w:r/>
            <w:r>
              <w:rPr>
                <w:rFonts w:ascii="Calibri" w:hAnsi="Calibri"/>
                <w:b w:val="0"/>
                <w:color w:val="222222"/>
                <w:sz w:val="20"/>
              </w:rPr>
              <w:t>17 Maubin-overlap events; CC BY-NC 4.0 terms require care.</w:t>
            </w:r>
          </w:p>
        </w:tc>
      </w:tr>
      <w:tr>
        <w:tc>
          <w:tcPr>
            <w:tcW w:type="dxa" w:w="3312"/>
          </w:tcPr>
          <w:p>
            <w:r/>
            <w:r>
              <w:rPr>
                <w:rFonts w:ascii="Calibri" w:hAnsi="Calibri"/>
                <w:b w:val="0"/>
                <w:color w:val="222222"/>
                <w:sz w:val="20"/>
              </w:rPr>
              <w:t>Open-Meteo forecast</w:t>
            </w:r>
          </w:p>
        </w:tc>
        <w:tc>
          <w:tcPr>
            <w:tcW w:type="dxa" w:w="3312"/>
          </w:tcPr>
          <w:p>
            <w:r/>
            <w:r>
              <w:rPr>
                <w:rFonts w:ascii="Calibri" w:hAnsi="Calibri"/>
                <w:b w:val="0"/>
                <w:color w:val="222222"/>
                <w:sz w:val="20"/>
              </w:rPr>
              <w:t>1-7 day rainfall outlook</w:t>
            </w:r>
          </w:p>
        </w:tc>
        <w:tc>
          <w:tcPr>
            <w:tcW w:type="dxa" w:w="3312"/>
          </w:tcPr>
          <w:p>
            <w:r/>
            <w:r>
              <w:rPr>
                <w:rFonts w:ascii="Calibri" w:hAnsi="Calibri"/>
                <w:b w:val="0"/>
                <w:color w:val="222222"/>
                <w:sz w:val="20"/>
              </w:rPr>
              <w:t>Forecast rainfall only; not a direct flood forecast.</w:t>
            </w:r>
          </w:p>
        </w:tc>
      </w:tr>
      <w:tr>
        <w:tc>
          <w:tcPr>
            <w:tcW w:type="dxa" w:w="3312"/>
          </w:tcPr>
          <w:p>
            <w:r/>
            <w:r>
              <w:rPr>
                <w:rFonts w:ascii="Calibri" w:hAnsi="Calibri"/>
                <w:b w:val="0"/>
                <w:color w:val="222222"/>
                <w:sz w:val="20"/>
              </w:rPr>
              <w:t>ESP32/MQTT/HTTP sensor pipeline</w:t>
            </w:r>
          </w:p>
        </w:tc>
        <w:tc>
          <w:tcPr>
            <w:tcW w:type="dxa" w:w="3312"/>
          </w:tcPr>
          <w:p>
            <w:r/>
            <w:r>
              <w:rPr>
                <w:rFonts w:ascii="Calibri" w:hAnsi="Calibri"/>
                <w:b w:val="0"/>
                <w:color w:val="222222"/>
                <w:sz w:val="20"/>
              </w:rPr>
              <w:t>Future water-level and rainfall ingestion</w:t>
            </w:r>
          </w:p>
        </w:tc>
        <w:tc>
          <w:tcPr>
            <w:tcW w:type="dxa" w:w="3312"/>
          </w:tcPr>
          <w:p>
            <w:r/>
            <w:r>
              <w:rPr>
                <w:rFonts w:ascii="Calibri" w:hAnsi="Calibri"/>
                <w:b w:val="0"/>
                <w:color w:val="222222"/>
                <w:sz w:val="20"/>
              </w:rPr>
              <w:t>API-ready; physical deployment still pending.</w:t>
            </w:r>
          </w:p>
        </w:tc>
      </w:tr>
    </w:tbl>
    <w:p/>
    <w:p>
      <w:pPr>
        <w:pStyle w:val="Heading1"/>
      </w:pPr>
      <w:r>
        <w:rPr>
          <w:rFonts w:ascii="Calibri" w:hAnsi="Calibri"/>
          <w:b/>
          <w:color w:val="1F4D78"/>
          <w:sz w:val="30"/>
        </w:rPr>
        <w:t>GeoAI Solution Approach</w:t>
      </w:r>
    </w:p>
    <w:p>
      <w:pPr>
        <w:pStyle w:val="ListBullet"/>
      </w:pPr>
      <w:r>
        <w:rPr>
          <w:rFonts w:ascii="Calibri" w:hAnsi="Calibri"/>
          <w:b w:val="0"/>
          <w:color w:val="222222"/>
          <w:sz w:val="22"/>
        </w:rPr>
        <w:t>Prepare township-scale spatial features in PostGIS from DEM, waterways, land cover, rainfall, and historical flood layers.</w:t>
      </w:r>
    </w:p>
    <w:p>
      <w:pPr>
        <w:pStyle w:val="ListBullet"/>
      </w:pPr>
      <w:r>
        <w:rPr>
          <w:rFonts w:ascii="Calibri" w:hAnsi="Calibri"/>
          <w:b w:val="0"/>
          <w:color w:val="222222"/>
          <w:sz w:val="22"/>
        </w:rPr>
        <w:t>Generate an explainable terrain screening score using low relative elevation, waterway proximity, and local flatness.</w:t>
      </w:r>
    </w:p>
    <w:p>
      <w:pPr>
        <w:pStyle w:val="ListBullet"/>
      </w:pPr>
      <w:r>
        <w:rPr>
          <w:rFonts w:ascii="Calibri" w:hAnsi="Calibri"/>
          <w:b w:val="0"/>
          <w:color w:val="222222"/>
          <w:sz w:val="22"/>
        </w:rPr>
        <w:t>Train historical susceptibility and rainfall-aligned event models on grid/event data, then expose model probabilities and hindcast outputs through FastAPI.</w:t>
      </w:r>
    </w:p>
    <w:p>
      <w:pPr>
        <w:pStyle w:val="ListBullet"/>
      </w:pPr>
      <w:r>
        <w:rPr>
          <w:rFonts w:ascii="Calibri" w:hAnsi="Calibri"/>
          <w:b w:val="0"/>
          <w:color w:val="222222"/>
          <w:sz w:val="22"/>
        </w:rPr>
        <w:t>Render evidence layers in a Next.js dashboard with 2D Leaflet, MapLibre 3D terrain, and Cesium globe views.</w:t>
      </w:r>
    </w:p>
    <w:p>
      <w:pPr>
        <w:pStyle w:val="ListBullet"/>
      </w:pPr>
      <w:r>
        <w:rPr>
          <w:rFonts w:ascii="Calibri" w:hAnsi="Calibri"/>
          <w:b w:val="0"/>
          <w:color w:val="222222"/>
          <w:sz w:val="22"/>
        </w:rPr>
        <w:t>Use future IoT water-level observations and threshold rules for live warnings once physical stations are deployed and calibrated.</w:t>
      </w:r>
    </w:p>
    <w:p>
      <w:pPr>
        <w:pStyle w:val="Heading1"/>
      </w:pPr>
      <w:r>
        <w:rPr>
          <w:rFonts w:ascii="Calibri" w:hAnsi="Calibri"/>
          <w:b/>
          <w:color w:val="1F4D78"/>
          <w:sz w:val="30"/>
        </w:rPr>
        <w:t>Expected Outcomes, Impact, and Scalability</w:t>
      </w:r>
    </w:p>
    <w:p>
      <w:pPr>
        <w:pStyle w:val="ListBullet"/>
      </w:pPr>
      <w:r>
        <w:rPr>
          <w:rFonts w:ascii="Calibri" w:hAnsi="Calibri"/>
          <w:b w:val="0"/>
          <w:color w:val="222222"/>
          <w:sz w:val="22"/>
        </w:rPr>
        <w:t>Short-term: identify high-priority cells and waterways for field verification, sensor placement, and community monitoring.</w:t>
      </w:r>
    </w:p>
    <w:p>
      <w:pPr>
        <w:pStyle w:val="ListBullet"/>
      </w:pPr>
      <w:r>
        <w:rPr>
          <w:rFonts w:ascii="Calibri" w:hAnsi="Calibri"/>
          <w:b w:val="0"/>
          <w:color w:val="222222"/>
          <w:sz w:val="22"/>
        </w:rPr>
        <w:t>Prototype output: dashboard-ready risk layers, rainfall context, provenance catalog, historical event selector, and API-backed map inspection.</w:t>
      </w:r>
    </w:p>
    <w:p>
      <w:pPr>
        <w:pStyle w:val="ListBullet"/>
      </w:pPr>
      <w:r>
        <w:rPr>
          <w:rFonts w:ascii="Calibri" w:hAnsi="Calibri"/>
          <w:b w:val="0"/>
          <w:color w:val="222222"/>
          <w:sz w:val="22"/>
        </w:rPr>
        <w:t>Impact value: clearer local planning evidence before flood season and better communication of uncertainty and data limitations.</w:t>
      </w:r>
    </w:p>
    <w:p>
      <w:pPr>
        <w:pStyle w:val="ListBullet"/>
      </w:pPr>
      <w:r>
        <w:rPr>
          <w:rFonts w:ascii="Calibri" w:hAnsi="Calibri"/>
          <w:b w:val="0"/>
          <w:color w:val="222222"/>
          <w:sz w:val="22"/>
        </w:rPr>
        <w:t>Scalability: repeat the pipeline for other townships by replacing boundary, DEM clip, waterways, land cover, rainfall, flood labels, and sensor station configuration.</w:t>
      </w:r>
    </w:p>
    <w:p>
      <w:pPr>
        <w:pStyle w:val="Heading1"/>
      </w:pPr>
      <w:r>
        <w:rPr>
          <w:rFonts w:ascii="Calibri" w:hAnsi="Calibri"/>
          <w:b/>
          <w:color w:val="1F4D78"/>
          <w:sz w:val="30"/>
        </w:rPr>
        <w:t>Limitations and Risk Controls</w:t>
      </w:r>
    </w:p>
    <w:p>
      <w:pPr>
        <w:pStyle w:val="ListBullet"/>
      </w:pPr>
      <w:r>
        <w:rPr>
          <w:rFonts w:ascii="Calibri" w:hAnsi="Calibri"/>
          <w:b w:val="0"/>
          <w:color w:val="222222"/>
          <w:sz w:val="22"/>
        </w:rPr>
        <w:t>Current outputs are historical susceptibility and hindcast evidence, not a certified operational flood warning.</w:t>
      </w:r>
    </w:p>
    <w:p>
      <w:pPr>
        <w:pStyle w:val="ListBullet"/>
      </w:pPr>
      <w:r>
        <w:rPr>
          <w:rFonts w:ascii="Calibri" w:hAnsi="Calibri"/>
          <w:b w:val="0"/>
          <w:color w:val="222222"/>
          <w:sz w:val="22"/>
        </w:rPr>
        <w:t>Flood depth, arrival time, tide, levee, drainage capacity, and calibrated physical sensors are not yet implemented.</w:t>
      </w:r>
    </w:p>
    <w:p>
      <w:pPr>
        <w:pStyle w:val="ListBullet"/>
      </w:pPr>
      <w:r>
        <w:rPr>
          <w:rFonts w:ascii="Calibri" w:hAnsi="Calibri"/>
          <w:b w:val="0"/>
          <w:color w:val="222222"/>
          <w:sz w:val="22"/>
        </w:rPr>
        <w:t>Model false positives remain a risk; human review and official warning channels are required for operational use.</w:t>
      </w:r>
    </w:p>
    <w:p>
      <w:pPr>
        <w:pStyle w:val="ListBullet"/>
      </w:pPr>
      <w:r>
        <w:rPr>
          <w:rFonts w:ascii="Calibri" w:hAnsi="Calibri"/>
          <w:b w:val="0"/>
          <w:color w:val="222222"/>
          <w:sz w:val="22"/>
        </w:rPr>
        <w:t>All dataset licences and attributions must be verified before public or commercial deployment.</w:t>
      </w:r>
    </w:p>
    <w:p>
      <w:pPr>
        <w:pStyle w:val="Heading1"/>
      </w:pPr>
      <w:r>
        <w:rPr>
          <w:rFonts w:ascii="Calibri" w:hAnsi="Calibri"/>
          <w:b/>
          <w:color w:val="1F4D78"/>
          <w:sz w:val="30"/>
        </w:rPr>
        <w:t>Submission Metadata</w:t>
      </w:r>
    </w:p>
    <w:tbl>
      <w:tblPr>
        <w:tblStyle w:val="TableGrid"/>
        <w:tblW w:type="auto" w:w="0"/>
        <w:tblLook w:firstColumn="1" w:firstRow="1" w:lastColumn="0" w:lastRow="0" w:noHBand="0" w:noVBand="1" w:val="04A0"/>
      </w:tblPr>
      <w:tblGrid>
        <w:gridCol w:w="4968"/>
        <w:gridCol w:w="4968"/>
      </w:tblGrid>
      <w:tr>
        <w:tc>
          <w:tcPr>
            <w:tcW w:type="dxa" w:w="4968"/>
          </w:tcPr>
          <w:p>
            <w:r/>
            <w:r>
              <w:rPr>
                <w:rFonts w:ascii="Calibri" w:hAnsi="Calibri"/>
                <w:b/>
                <w:color w:val="0B2545"/>
                <w:sz w:val="22"/>
              </w:rPr>
              <w:t>Field</w:t>
            </w:r>
          </w:p>
        </w:tc>
        <w:tc>
          <w:tcPr>
            <w:tcW w:type="dxa" w:w="4968"/>
          </w:tcPr>
          <w:p>
            <w:r/>
            <w:r>
              <w:rPr>
                <w:rFonts w:ascii="Calibri" w:hAnsi="Calibri"/>
                <w:b/>
                <w:color w:val="0B2545"/>
                <w:sz w:val="22"/>
              </w:rPr>
              <w:t>Suggested Value</w:t>
            </w:r>
          </w:p>
        </w:tc>
      </w:tr>
      <w:tr>
        <w:tc>
          <w:tcPr>
            <w:tcW w:type="dxa" w:w="4968"/>
          </w:tcPr>
          <w:p>
            <w:r/>
            <w:r>
              <w:rPr>
                <w:rFonts w:ascii="Calibri" w:hAnsi="Calibri"/>
                <w:b w:val="0"/>
                <w:color w:val="222222"/>
                <w:sz w:val="20"/>
              </w:rPr>
              <w:t>Project title</w:t>
            </w:r>
          </w:p>
        </w:tc>
        <w:tc>
          <w:tcPr>
            <w:tcW w:type="dxa" w:w="4968"/>
          </w:tcPr>
          <w:p>
            <w:r/>
            <w:r>
              <w:rPr>
                <w:rFonts w:ascii="Calibri" w:hAnsi="Calibri"/>
                <w:b w:val="0"/>
                <w:color w:val="222222"/>
                <w:sz w:val="20"/>
              </w:rPr>
              <w:t>FloodGuard Myanmar: GeoAI Flood Susceptibility and Early Warning MVP</w:t>
            </w:r>
          </w:p>
        </w:tc>
      </w:tr>
      <w:tr>
        <w:tc>
          <w:tcPr>
            <w:tcW w:type="dxa" w:w="4968"/>
          </w:tcPr>
          <w:p>
            <w:r/>
            <w:r>
              <w:rPr>
                <w:rFonts w:ascii="Calibri" w:hAnsi="Calibri"/>
                <w:b w:val="0"/>
                <w:color w:val="222222"/>
                <w:sz w:val="20"/>
              </w:rPr>
              <w:t>Short summary</w:t>
            </w:r>
          </w:p>
        </w:tc>
        <w:tc>
          <w:tcPr>
            <w:tcW w:type="dxa" w:w="4968"/>
          </w:tcPr>
          <w:p>
            <w:r/>
            <w:r>
              <w:rPr>
                <w:rFonts w:ascii="Calibri" w:hAnsi="Calibri"/>
                <w:b w:val="0"/>
                <w:color w:val="222222"/>
                <w:sz w:val="20"/>
              </w:rPr>
              <w:t>GeoAI flood susceptibility and early-warning MVP for Maubin Township using PostGIS, historical flood evidence, rainfall data, 2D/3D map visualization, and future IoT sensor ingestion.</w:t>
            </w:r>
          </w:p>
        </w:tc>
      </w:tr>
      <w:tr>
        <w:tc>
          <w:tcPr>
            <w:tcW w:type="dxa" w:w="4968"/>
          </w:tcPr>
          <w:p>
            <w:r/>
            <w:r>
              <w:rPr>
                <w:rFonts w:ascii="Calibri" w:hAnsi="Calibri"/>
                <w:b w:val="0"/>
                <w:color w:val="222222"/>
                <w:sz w:val="20"/>
              </w:rPr>
              <w:t>Repository URL</w:t>
            </w:r>
          </w:p>
        </w:tc>
        <w:tc>
          <w:tcPr>
            <w:tcW w:type="dxa" w:w="4968"/>
          </w:tcPr>
          <w:p>
            <w:r/>
            <w:r>
              <w:rPr>
                <w:rFonts w:ascii="Calibri" w:hAnsi="Calibri"/>
                <w:b w:val="0"/>
                <w:color w:val="222222"/>
                <w:sz w:val="20"/>
              </w:rPr>
              <w:t>Add your GitHub/GitLab repository URL before final submission.</w:t>
            </w:r>
          </w:p>
        </w:tc>
      </w:tr>
      <w:tr>
        <w:tc>
          <w:tcPr>
            <w:tcW w:type="dxa" w:w="4968"/>
          </w:tcPr>
          <w:p>
            <w:r/>
            <w:r>
              <w:rPr>
                <w:rFonts w:ascii="Calibri" w:hAnsi="Calibri"/>
                <w:b w:val="0"/>
                <w:color w:val="222222"/>
                <w:sz w:val="20"/>
              </w:rPr>
              <w:t>AI usage declaration</w:t>
            </w:r>
          </w:p>
        </w:tc>
        <w:tc>
          <w:tcPr>
            <w:tcW w:type="dxa" w:w="4968"/>
          </w:tcPr>
          <w:p>
            <w:r/>
            <w:r>
              <w:rPr>
                <w:rFonts w:ascii="Calibri" w:hAnsi="Calibri"/>
                <w:b w:val="0"/>
                <w:color w:val="222222"/>
                <w:sz w:val="20"/>
              </w:rPr>
              <w:t>AI tools were used to assist drafting, coding support, and submission material preparation; the team remains responsible for validation and final content.</w:t>
            </w:r>
          </w:p>
        </w:tc>
      </w:tr>
      <w:tr>
        <w:tc>
          <w:tcPr>
            <w:tcW w:type="dxa" w:w="4968"/>
          </w:tcPr>
          <w:p>
            <w:r/>
            <w:r>
              <w:rPr>
                <w:rFonts w:ascii="Calibri" w:hAnsi="Calibri"/>
                <w:b w:val="0"/>
                <w:color w:val="222222"/>
                <w:sz w:val="20"/>
              </w:rPr>
              <w:t>Dataset usage rights declaration</w:t>
            </w:r>
          </w:p>
        </w:tc>
        <w:tc>
          <w:tcPr>
            <w:tcW w:type="dxa" w:w="4968"/>
          </w:tcPr>
          <w:p>
            <w:r/>
            <w:r>
              <w:rPr>
                <w:rFonts w:ascii="Calibri" w:hAnsi="Calibri"/>
                <w:b w:val="0"/>
                <w:color w:val="222222"/>
                <w:sz w:val="20"/>
              </w:rPr>
              <w:t>Datasets are public/open or research-access sources with attribution and licence checks required before public deployment.</w:t>
            </w:r>
          </w:p>
        </w:tc>
      </w:tr>
      <w:tr>
        <w:tc>
          <w:tcPr>
            <w:tcW w:type="dxa" w:w="4968"/>
          </w:tcPr>
          <w:p>
            <w:r/>
            <w:r>
              <w:rPr>
                <w:rFonts w:ascii="Calibri" w:hAnsi="Calibri"/>
                <w:b w:val="0"/>
                <w:color w:val="222222"/>
                <w:sz w:val="20"/>
              </w:rPr>
              <w:t>Originality/IP declaration</w:t>
            </w:r>
          </w:p>
        </w:tc>
        <w:tc>
          <w:tcPr>
            <w:tcW w:type="dxa" w:w="4968"/>
          </w:tcPr>
          <w:p>
            <w:r/>
            <w:r>
              <w:rPr>
                <w:rFonts w:ascii="Calibri" w:hAnsi="Calibri"/>
                <w:b w:val="0"/>
                <w:color w:val="222222"/>
                <w:sz w:val="20"/>
              </w:rPr>
              <w:t>Prototype source code and integration work are team-created unless otherwise noted; third-party datasets and libraries retain their original licences.</w:t>
            </w:r>
          </w:p>
        </w:tc>
      </w:tr>
      <w:tr>
        <w:tc>
          <w:tcPr>
            <w:tcW w:type="dxa" w:w="4968"/>
          </w:tcPr>
          <w:p>
            <w:r/>
            <w:r>
              <w:rPr>
                <w:rFonts w:ascii="Calibri" w:hAnsi="Calibri"/>
                <w:b w:val="0"/>
                <w:color w:val="222222"/>
                <w:sz w:val="20"/>
              </w:rPr>
              <w:t>Compliance declaration</w:t>
            </w:r>
          </w:p>
        </w:tc>
        <w:tc>
          <w:tcPr>
            <w:tcW w:type="dxa" w:w="4968"/>
          </w:tcPr>
          <w:p>
            <w:r/>
            <w:r>
              <w:rPr>
                <w:rFonts w:ascii="Calibri" w:hAnsi="Calibri"/>
                <w:b w:val="0"/>
                <w:color w:val="222222"/>
                <w:sz w:val="20"/>
              </w:rPr>
              <w:t>The team should confirm compliance with ASEAN GeoAI Fusion 2026 terms before final submission.</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