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набор тестовых сценариев с использованием техник тест-дизайна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баг-репорты о выявленных ошибках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Элементы кейса: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Ожидаемый результат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Полученный результат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+/-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Тестовый сценарий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Тестовые данные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Использовать технику тест-дизайна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Разделить на классы эквивалентности? Определить граничные значения?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Использовать предугадывание ошибки?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Три целых или вещественных параметра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Классы эквиваелентности можно построить из: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а) Диапазон от 0 до макс вещественного числа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б)Равносторонний, равнобедренный, прямоугольный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в)Существующий и несуществующий треугольники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Вещественные значения длин сторон обрабатываются с точностью 5*10^-6.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Значения, выходящие за диапазон, считаются тестовым случаем?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Тестовый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Тестовые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Полученный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Успешность прохождения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