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1D04A" w14:textId="4FF7680D" w:rsidR="00537D49" w:rsidRPr="00EA474D" w:rsidRDefault="002050AE" w:rsidP="00EA474D">
      <w:pPr>
        <w:spacing w:line="288" w:lineRule="auto"/>
        <w:jc w:val="center"/>
        <w:rPr>
          <w:szCs w:val="28"/>
        </w:rPr>
      </w:pPr>
      <w:r w:rsidRPr="00EA474D">
        <w:rPr>
          <w:szCs w:val="28"/>
        </w:rPr>
        <w:t xml:space="preserve">Доклад на тему </w:t>
      </w:r>
      <w:r w:rsidR="000E4F04" w:rsidRPr="00EA474D">
        <w:rPr>
          <w:szCs w:val="28"/>
        </w:rPr>
        <w:t>«</w:t>
      </w:r>
      <w:r w:rsidR="000E4F04" w:rsidRPr="00EA474D">
        <w:rPr>
          <w:szCs w:val="28"/>
        </w:rPr>
        <w:t>История сбывшихся прогнозов и обманутых надежд</w:t>
      </w:r>
      <w:r w:rsidR="000E4F04" w:rsidRPr="00EA474D">
        <w:rPr>
          <w:szCs w:val="28"/>
        </w:rPr>
        <w:t>»</w:t>
      </w:r>
      <w:r w:rsidR="00537D49" w:rsidRPr="00EA474D">
        <w:rPr>
          <w:szCs w:val="28"/>
        </w:rPr>
        <w:t>.</w:t>
      </w:r>
    </w:p>
    <w:p w14:paraId="29ADF72D" w14:textId="08173B9C" w:rsidR="00537D49" w:rsidRPr="00EA474D" w:rsidRDefault="00537D49" w:rsidP="00EA474D">
      <w:pPr>
        <w:spacing w:line="288" w:lineRule="auto"/>
        <w:jc w:val="center"/>
        <w:rPr>
          <w:szCs w:val="28"/>
        </w:rPr>
      </w:pPr>
      <w:r w:rsidRPr="00EA474D">
        <w:rPr>
          <w:szCs w:val="28"/>
        </w:rPr>
        <w:t>«Закон Мура»</w:t>
      </w:r>
    </w:p>
    <w:p w14:paraId="708F7117" w14:textId="6905601E" w:rsidR="00537D49" w:rsidRPr="00EA474D" w:rsidRDefault="00537D49" w:rsidP="00EA474D">
      <w:pPr>
        <w:spacing w:line="288" w:lineRule="auto"/>
        <w:rPr>
          <w:b/>
          <w:bCs/>
          <w:szCs w:val="28"/>
        </w:rPr>
      </w:pPr>
      <w:r w:rsidRPr="00EA474D">
        <w:rPr>
          <w:szCs w:val="28"/>
        </w:rPr>
        <w:tab/>
      </w:r>
      <w:r w:rsidRPr="00EA474D">
        <w:rPr>
          <w:b/>
          <w:bCs/>
          <w:szCs w:val="28"/>
        </w:rPr>
        <w:t>Введение</w:t>
      </w:r>
    </w:p>
    <w:p w14:paraId="576B008E" w14:textId="4C4D5735" w:rsidR="00537D49" w:rsidRPr="00EA474D" w:rsidRDefault="00537D49" w:rsidP="00EA474D">
      <w:pPr>
        <w:spacing w:line="288" w:lineRule="auto"/>
        <w:rPr>
          <w:szCs w:val="28"/>
        </w:rPr>
      </w:pPr>
      <w:r w:rsidRPr="00EA474D">
        <w:rPr>
          <w:szCs w:val="28"/>
        </w:rPr>
        <w:tab/>
      </w:r>
      <w:r w:rsidRPr="00EA474D">
        <w:rPr>
          <w:szCs w:val="28"/>
        </w:rPr>
        <w:t xml:space="preserve">«Если бы за последние 25 лет авиационная промышленность развивалась столь же стремительно, как вычислительная техника, то </w:t>
      </w:r>
      <w:r w:rsidRPr="00EA474D">
        <w:rPr>
          <w:i/>
          <w:iCs/>
          <w:szCs w:val="28"/>
        </w:rPr>
        <w:t>Boeing</w:t>
      </w:r>
      <w:r w:rsidRPr="00EA474D">
        <w:rPr>
          <w:szCs w:val="28"/>
        </w:rPr>
        <w:t xml:space="preserve"> 767 можно было бы приобрести сегодня за 500 долл. и облететь на нем земной шар за 20 мин, израсходовав при этом 19 литров горючего. При этой аналогии, хотя и не совсем точной, можно судить о темпах снижения стоимости и </w:t>
      </w:r>
      <w:r w:rsidRPr="00EA474D">
        <w:rPr>
          <w:szCs w:val="28"/>
        </w:rPr>
        <w:t>энергопотребления</w:t>
      </w:r>
      <w:r w:rsidRPr="00EA474D">
        <w:rPr>
          <w:szCs w:val="28"/>
        </w:rPr>
        <w:t xml:space="preserve"> и роста быстродействия вычислительных машин»</w:t>
      </w:r>
      <w:r w:rsidRPr="00EA474D">
        <w:rPr>
          <w:szCs w:val="28"/>
        </w:rPr>
        <w:t xml:space="preserve"> [1]</w:t>
      </w:r>
      <w:r w:rsidRPr="00EA474D">
        <w:rPr>
          <w:szCs w:val="28"/>
        </w:rPr>
        <w:t>.</w:t>
      </w:r>
    </w:p>
    <w:p w14:paraId="69696477" w14:textId="53EDC623" w:rsidR="00537D49" w:rsidRPr="00EA474D" w:rsidRDefault="00537D49" w:rsidP="00EA474D">
      <w:pPr>
        <w:spacing w:line="288" w:lineRule="auto"/>
        <w:rPr>
          <w:szCs w:val="28"/>
        </w:rPr>
      </w:pPr>
      <w:r w:rsidRPr="00EA474D">
        <w:rPr>
          <w:szCs w:val="28"/>
        </w:rPr>
        <w:tab/>
      </w:r>
      <w:r w:rsidRPr="00EA474D">
        <w:rPr>
          <w:szCs w:val="28"/>
        </w:rPr>
        <w:t>Прогнозы и ожидания всегда играли важную роль в жизни человечества. Многочисленные идеи и предположения относительно будущего науки и технологий вызывали оптимизм, а иногда и страх. Некоторые предсказания со временем подтвердились, другие</w:t>
      </w:r>
      <w:r w:rsidRPr="00EA474D">
        <w:rPr>
          <w:szCs w:val="28"/>
        </w:rPr>
        <w:t xml:space="preserve"> – </w:t>
      </w:r>
      <w:r w:rsidRPr="00EA474D">
        <w:rPr>
          <w:szCs w:val="28"/>
        </w:rPr>
        <w:t>оказались ошибочными. Одним из самых известных примеров прогнозов, которые как оправдали, так и со временем не оправдали надежд, является закон Мура.</w:t>
      </w:r>
    </w:p>
    <w:p w14:paraId="30627809" w14:textId="0C4CC4A7" w:rsidR="00C83196" w:rsidRPr="00EA474D" w:rsidRDefault="00C83196" w:rsidP="00EA474D">
      <w:pPr>
        <w:spacing w:line="288" w:lineRule="auto"/>
        <w:rPr>
          <w:b/>
          <w:bCs/>
          <w:szCs w:val="28"/>
        </w:rPr>
      </w:pPr>
      <w:r w:rsidRPr="00EA474D">
        <w:rPr>
          <w:szCs w:val="28"/>
        </w:rPr>
        <w:tab/>
      </w:r>
      <w:r w:rsidRPr="00EA474D">
        <w:rPr>
          <w:b/>
          <w:bCs/>
          <w:szCs w:val="28"/>
        </w:rPr>
        <w:t xml:space="preserve">1 </w:t>
      </w:r>
      <w:r w:rsidRPr="00EA474D">
        <w:rPr>
          <w:b/>
          <w:bCs/>
          <w:szCs w:val="28"/>
        </w:rPr>
        <w:t>Закон Мура и его предсказания</w:t>
      </w:r>
    </w:p>
    <w:p w14:paraId="246ADB73" w14:textId="72C3FF89" w:rsidR="00C83196" w:rsidRPr="00EA474D" w:rsidRDefault="00C83196" w:rsidP="00EA474D">
      <w:pPr>
        <w:spacing w:line="288" w:lineRule="auto"/>
        <w:rPr>
          <w:szCs w:val="28"/>
        </w:rPr>
      </w:pPr>
      <w:r w:rsidRPr="00EA474D">
        <w:rPr>
          <w:szCs w:val="28"/>
        </w:rPr>
        <w:tab/>
      </w:r>
      <w:r w:rsidRPr="00EA474D">
        <w:rPr>
          <w:szCs w:val="28"/>
        </w:rPr>
        <w:t xml:space="preserve">Закон Мура </w:t>
      </w:r>
      <w:r w:rsidR="00B94A8D" w:rsidRPr="00EA474D">
        <w:rPr>
          <w:szCs w:val="28"/>
        </w:rPr>
        <w:t>–</w:t>
      </w:r>
      <w:r w:rsidRPr="00EA474D">
        <w:rPr>
          <w:szCs w:val="28"/>
        </w:rPr>
        <w:t xml:space="preserve"> это эмпирическое наблюдение, сформулированное в 1965 году сооснователем компании </w:t>
      </w:r>
      <w:r w:rsidRPr="00EA474D">
        <w:rPr>
          <w:i/>
          <w:iCs/>
          <w:szCs w:val="28"/>
        </w:rPr>
        <w:t>Intel</w:t>
      </w:r>
      <w:r w:rsidRPr="00EA474D">
        <w:rPr>
          <w:szCs w:val="28"/>
        </w:rPr>
        <w:t xml:space="preserve"> Гордоном Муром. Согласно закону, количество транзисторов на интегральной схеме удваивается примерно каждые два года, что приводит к росту вычислительной мощности. Закон Мура быстро стал основополагающим принципом прогноза в мире высоких технологий и положил начало эре невероятного ускорения технологического прогресса.</w:t>
      </w:r>
    </w:p>
    <w:p w14:paraId="2EF4B03A" w14:textId="06EA007C" w:rsidR="0095485C" w:rsidRPr="00EA474D" w:rsidRDefault="0095485C" w:rsidP="00EA474D">
      <w:pPr>
        <w:spacing w:line="288" w:lineRule="auto"/>
        <w:rPr>
          <w:b/>
          <w:bCs/>
          <w:szCs w:val="28"/>
        </w:rPr>
      </w:pPr>
      <w:r w:rsidRPr="00EA474D">
        <w:rPr>
          <w:szCs w:val="28"/>
        </w:rPr>
        <w:tab/>
      </w:r>
      <w:r w:rsidRPr="00EA474D">
        <w:rPr>
          <w:b/>
          <w:bCs/>
          <w:szCs w:val="28"/>
        </w:rPr>
        <w:t>1.1 Сбывшийся прогноз</w:t>
      </w:r>
    </w:p>
    <w:p w14:paraId="1CFDB768" w14:textId="77777777" w:rsidR="0095485C" w:rsidRPr="00EA474D" w:rsidRDefault="0095485C" w:rsidP="00EA474D">
      <w:pPr>
        <w:spacing w:line="288" w:lineRule="auto"/>
        <w:rPr>
          <w:szCs w:val="28"/>
        </w:rPr>
      </w:pPr>
      <w:r w:rsidRPr="00EA474D">
        <w:rPr>
          <w:szCs w:val="28"/>
        </w:rPr>
        <w:tab/>
      </w:r>
      <w:r w:rsidRPr="00EA474D">
        <w:rPr>
          <w:szCs w:val="28"/>
        </w:rPr>
        <w:t>На протяжении десятилетий закон Мура оставался действительным: с каждым годом компьютеры становились мощнее, и возможности полупроводниковых технологий росли. Благодаря этому предсказанию в течение почти полувека наблюдался экспоненциальный рост мощностей процессоров, памяти и других электронных устройств. Этот феномен также способствовал развитию интернета, мобильной связи, искусственного интеллекта и других высоких технологий.</w:t>
      </w:r>
    </w:p>
    <w:p w14:paraId="49EAEE39" w14:textId="43B0E794" w:rsidR="0095485C" w:rsidRPr="00EA474D" w:rsidRDefault="0095485C" w:rsidP="00EA474D">
      <w:pPr>
        <w:spacing w:line="288" w:lineRule="auto"/>
        <w:ind w:firstLine="708"/>
        <w:rPr>
          <w:szCs w:val="28"/>
        </w:rPr>
      </w:pPr>
      <w:r w:rsidRPr="00EA474D">
        <w:rPr>
          <w:szCs w:val="28"/>
        </w:rPr>
        <w:t>Компании и ученые основывали свои бизнес-модели и планы исследований на предположении, что прогресс будет продолжаться в том же темпе. Благодаря закону Мура появились такие устройства, как смартфоны и персональные компьютеры, которые сегодня прочно вошли в повседневную жизнь людей. Это был редкий пример прогноза, который оказался крайне точным и который, безусловно, оправдал ожидания.</w:t>
      </w:r>
    </w:p>
    <w:p w14:paraId="5CFD0001" w14:textId="3D12B104" w:rsidR="00D03DEE" w:rsidRPr="00EA474D" w:rsidRDefault="00CF52A9" w:rsidP="00EA474D">
      <w:pPr>
        <w:spacing w:line="288" w:lineRule="auto"/>
        <w:ind w:firstLine="708"/>
        <w:rPr>
          <w:b/>
          <w:bCs/>
          <w:szCs w:val="28"/>
        </w:rPr>
      </w:pPr>
      <w:r w:rsidRPr="00EA474D">
        <w:rPr>
          <w:b/>
          <w:bCs/>
          <w:szCs w:val="28"/>
          <w:lang w:val="en-US"/>
        </w:rPr>
        <w:t xml:space="preserve">1.2 </w:t>
      </w:r>
      <w:r w:rsidR="00DA20A4" w:rsidRPr="00EA474D">
        <w:rPr>
          <w:b/>
          <w:bCs/>
          <w:szCs w:val="28"/>
        </w:rPr>
        <w:t>Первые проблемы</w:t>
      </w:r>
    </w:p>
    <w:p w14:paraId="7CA4218F" w14:textId="1A16878B" w:rsidR="00CF52A9" w:rsidRPr="00EA474D" w:rsidRDefault="00CF52A9" w:rsidP="00EA474D">
      <w:pPr>
        <w:spacing w:line="288" w:lineRule="auto"/>
        <w:ind w:firstLine="708"/>
        <w:rPr>
          <w:szCs w:val="28"/>
          <w:lang w:val="en-US"/>
        </w:rPr>
      </w:pPr>
      <w:r w:rsidRPr="00CF52A9">
        <w:rPr>
          <w:szCs w:val="28"/>
        </w:rPr>
        <w:lastRenderedPageBreak/>
        <w:t>Однако, по мере развития полупроводниковой индустрии стало ясно, что закон Мура невозможно поддерживать бесконечно. В начале 2010-х годов возникли трудности, связанные с физическими пределами, которые накладываются на миниатюризацию транзисторов. Чем меньше размер транзистора, тем больше проблем возникает с его производительностью и надежностью. В результате рост вычислительных мощностей стал замедляться, а предсказание закона Мура начало постепенно терять свою актуальность.</w:t>
      </w:r>
      <w:r w:rsidR="00060074" w:rsidRPr="00EA474D">
        <w:rPr>
          <w:szCs w:val="28"/>
        </w:rPr>
        <w:t xml:space="preserve"> </w:t>
      </w:r>
    </w:p>
    <w:p w14:paraId="2F915EC2" w14:textId="3CFE41A0" w:rsidR="00CF52A9" w:rsidRPr="00EA474D" w:rsidRDefault="00060074" w:rsidP="00EA474D">
      <w:pPr>
        <w:spacing w:line="288" w:lineRule="auto"/>
        <w:ind w:firstLine="708"/>
        <w:rPr>
          <w:szCs w:val="28"/>
        </w:rPr>
      </w:pPr>
      <w:r w:rsidRPr="00EA474D">
        <w:rPr>
          <w:szCs w:val="28"/>
        </w:rPr>
        <w:t xml:space="preserve">В итоге маркетологам стало всё сложнее рисовать картину соответствия прогресса технологии закону Мура, поскольку спуститься ниже </w:t>
      </w:r>
      <w:proofErr w:type="gramStart"/>
      <w:r w:rsidRPr="00EA474D">
        <w:rPr>
          <w:szCs w:val="28"/>
        </w:rPr>
        <w:t>25</w:t>
      </w:r>
      <w:r w:rsidR="00B94A8D" w:rsidRPr="00EA474D">
        <w:rPr>
          <w:szCs w:val="28"/>
        </w:rPr>
        <w:t>-</w:t>
      </w:r>
      <w:r w:rsidRPr="00EA474D">
        <w:rPr>
          <w:szCs w:val="28"/>
        </w:rPr>
        <w:t>20</w:t>
      </w:r>
      <w:proofErr w:type="gramEnd"/>
      <w:r w:rsidRPr="00EA474D">
        <w:rPr>
          <w:szCs w:val="28"/>
        </w:rPr>
        <w:t xml:space="preserve"> нм без технологического прорыва не получалось. Поэтому пришлось искать новый способ вычисления проектной нормы. Этот способ был найден: в индустрии для оценки плотности упаковки использовалась площадь </w:t>
      </w:r>
      <w:proofErr w:type="spellStart"/>
      <w:r w:rsidRPr="00EA474D">
        <w:rPr>
          <w:szCs w:val="28"/>
        </w:rPr>
        <w:t>шеститранзисторной</w:t>
      </w:r>
      <w:proofErr w:type="spellEnd"/>
      <w:r w:rsidRPr="00EA474D">
        <w:rPr>
          <w:szCs w:val="28"/>
        </w:rPr>
        <w:t xml:space="preserve"> ячейки памяти </w:t>
      </w:r>
      <w:r w:rsidR="00B94A8D" w:rsidRPr="00EA474D">
        <w:rPr>
          <w:szCs w:val="28"/>
        </w:rPr>
        <w:t>–</w:t>
      </w:r>
      <w:r w:rsidRPr="00EA474D">
        <w:rPr>
          <w:szCs w:val="28"/>
        </w:rPr>
        <w:t xml:space="preserve"> самого популярного строительного блока микропроцессоров. Именно из таких ячеек обычно состоит кэш-память и регистровый блок, которые могут занимать половину кристалла, а схему и топологию </w:t>
      </w:r>
      <w:proofErr w:type="spellStart"/>
      <w:r w:rsidRPr="00EA474D">
        <w:rPr>
          <w:szCs w:val="28"/>
        </w:rPr>
        <w:t>шеститранзисторной</w:t>
      </w:r>
      <w:proofErr w:type="spellEnd"/>
      <w:r w:rsidRPr="00EA474D">
        <w:rPr>
          <w:szCs w:val="28"/>
        </w:rPr>
        <w:t xml:space="preserve"> ячейки всегда тщательно выверяют до предела. Переход к подложкам типа кремний-на-изоляторе позволил уменьшить обычный плоский транзистор до уровня </w:t>
      </w:r>
      <w:proofErr w:type="gramStart"/>
      <w:r w:rsidRPr="00EA474D">
        <w:rPr>
          <w:szCs w:val="28"/>
        </w:rPr>
        <w:t>14</w:t>
      </w:r>
      <w:r w:rsidR="00C64390" w:rsidRPr="00EA474D">
        <w:rPr>
          <w:szCs w:val="28"/>
        </w:rPr>
        <w:t>-</w:t>
      </w:r>
      <w:r w:rsidRPr="00EA474D">
        <w:rPr>
          <w:szCs w:val="28"/>
        </w:rPr>
        <w:t>16</w:t>
      </w:r>
      <w:proofErr w:type="gramEnd"/>
      <w:r w:rsidRPr="00EA474D">
        <w:rPr>
          <w:szCs w:val="28"/>
        </w:rPr>
        <w:t xml:space="preserve"> нм. Дальнейшее уменьшение проектной нормы потребовало внедрить новое решение </w:t>
      </w:r>
      <w:r w:rsidR="00B94A8D" w:rsidRPr="00EA474D">
        <w:rPr>
          <w:szCs w:val="28"/>
        </w:rPr>
        <w:t>–</w:t>
      </w:r>
      <w:r w:rsidRPr="00EA474D">
        <w:rPr>
          <w:szCs w:val="28"/>
        </w:rPr>
        <w:t xml:space="preserve"> объемные </w:t>
      </w:r>
      <w:proofErr w:type="spellStart"/>
      <w:r w:rsidRPr="00EA474D">
        <w:rPr>
          <w:i/>
          <w:iCs/>
          <w:szCs w:val="28"/>
        </w:rPr>
        <w:t>FinFET</w:t>
      </w:r>
      <w:proofErr w:type="spellEnd"/>
      <w:r w:rsidR="00D62EDD" w:rsidRPr="00EA474D">
        <w:rPr>
          <w:i/>
          <w:iCs/>
          <w:szCs w:val="28"/>
        </w:rPr>
        <w:t>-</w:t>
      </w:r>
      <w:r w:rsidRPr="00EA474D">
        <w:rPr>
          <w:szCs w:val="28"/>
        </w:rPr>
        <w:t xml:space="preserve">транзисторы. Геометрическая длина канала в 16 нм </w:t>
      </w:r>
      <w:proofErr w:type="spellStart"/>
      <w:r w:rsidRPr="00EA474D">
        <w:rPr>
          <w:i/>
          <w:iCs/>
          <w:szCs w:val="28"/>
        </w:rPr>
        <w:t>FinFET</w:t>
      </w:r>
      <w:proofErr w:type="spellEnd"/>
      <w:r w:rsidRPr="00EA474D">
        <w:rPr>
          <w:szCs w:val="28"/>
        </w:rPr>
        <w:t xml:space="preserve">-транзистора больше, чем </w:t>
      </w:r>
      <w:proofErr w:type="gramStart"/>
      <w:r w:rsidRPr="00EA474D">
        <w:rPr>
          <w:szCs w:val="28"/>
        </w:rPr>
        <w:t>20</w:t>
      </w:r>
      <w:r w:rsidR="00B94A8D" w:rsidRPr="00EA474D">
        <w:rPr>
          <w:szCs w:val="28"/>
        </w:rPr>
        <w:t>-</w:t>
      </w:r>
      <w:r w:rsidRPr="00EA474D">
        <w:rPr>
          <w:szCs w:val="28"/>
        </w:rPr>
        <w:t>25</w:t>
      </w:r>
      <w:proofErr w:type="gramEnd"/>
      <w:r w:rsidRPr="00EA474D">
        <w:rPr>
          <w:szCs w:val="28"/>
        </w:rPr>
        <w:t xml:space="preserve"> нм. Однако минимальный имеющийся в этих транзисторах размер </w:t>
      </w:r>
      <w:r w:rsidR="00B94A8D" w:rsidRPr="00EA474D">
        <w:rPr>
          <w:szCs w:val="28"/>
        </w:rPr>
        <w:t>–</w:t>
      </w:r>
      <w:r w:rsidRPr="00EA474D">
        <w:rPr>
          <w:szCs w:val="28"/>
        </w:rPr>
        <w:t xml:space="preserve"> это не длина канала, а ширина плавника (от англ. </w:t>
      </w:r>
      <w:proofErr w:type="spellStart"/>
      <w:r w:rsidRPr="00EA474D">
        <w:rPr>
          <w:i/>
          <w:iCs/>
          <w:szCs w:val="28"/>
        </w:rPr>
        <w:t>fin</w:t>
      </w:r>
      <w:proofErr w:type="spellEnd"/>
      <w:r w:rsidRPr="00EA474D">
        <w:rPr>
          <w:szCs w:val="28"/>
        </w:rPr>
        <w:t> </w:t>
      </w:r>
      <w:r w:rsidR="003E1BD4" w:rsidRPr="00EA474D">
        <w:rPr>
          <w:szCs w:val="28"/>
        </w:rPr>
        <w:t>–</w:t>
      </w:r>
      <w:r w:rsidRPr="00EA474D">
        <w:rPr>
          <w:szCs w:val="28"/>
        </w:rPr>
        <w:t xml:space="preserve"> плавник), составляющая всего 8 нм. То есть маркетологи, привязавшись к размерам ячейки памяти, обманули сами себя и теперь вынуждены озвучивать цифру больше, чем могли бы</w:t>
      </w:r>
      <w:r w:rsidR="00FA4928" w:rsidRPr="00EA474D">
        <w:rPr>
          <w:szCs w:val="28"/>
        </w:rPr>
        <w:t xml:space="preserve"> [2]</w:t>
      </w:r>
      <w:r w:rsidRPr="00EA474D">
        <w:rPr>
          <w:szCs w:val="28"/>
        </w:rPr>
        <w:t>.</w:t>
      </w:r>
    </w:p>
    <w:p w14:paraId="019658CE" w14:textId="21FBE13F" w:rsidR="00FA4928" w:rsidRPr="00EA474D" w:rsidRDefault="00253FC0" w:rsidP="00EA474D">
      <w:pPr>
        <w:spacing w:line="288" w:lineRule="auto"/>
        <w:ind w:firstLine="708"/>
        <w:rPr>
          <w:b/>
          <w:bCs/>
          <w:i/>
          <w:iCs/>
          <w:szCs w:val="28"/>
        </w:rPr>
      </w:pPr>
      <w:r w:rsidRPr="00EA474D">
        <w:rPr>
          <w:b/>
          <w:bCs/>
          <w:szCs w:val="28"/>
        </w:rPr>
        <w:t>1.3 «</w:t>
      </w:r>
      <w:proofErr w:type="spellStart"/>
      <w:r w:rsidRPr="00EA474D">
        <w:rPr>
          <w:b/>
          <w:bCs/>
          <w:i/>
          <w:iCs/>
          <w:szCs w:val="28"/>
        </w:rPr>
        <w:t>Moore’s</w:t>
      </w:r>
      <w:proofErr w:type="spellEnd"/>
      <w:r w:rsidRPr="00EA474D">
        <w:rPr>
          <w:b/>
          <w:bCs/>
          <w:i/>
          <w:iCs/>
          <w:szCs w:val="28"/>
        </w:rPr>
        <w:t xml:space="preserve"> </w:t>
      </w:r>
      <w:proofErr w:type="spellStart"/>
      <w:r w:rsidRPr="00EA474D">
        <w:rPr>
          <w:b/>
          <w:bCs/>
          <w:i/>
          <w:iCs/>
          <w:szCs w:val="28"/>
        </w:rPr>
        <w:t>Law’s</w:t>
      </w:r>
      <w:proofErr w:type="spellEnd"/>
      <w:r w:rsidRPr="00EA474D">
        <w:rPr>
          <w:b/>
          <w:bCs/>
          <w:i/>
          <w:iCs/>
          <w:szCs w:val="28"/>
        </w:rPr>
        <w:t xml:space="preserve"> </w:t>
      </w:r>
      <w:proofErr w:type="spellStart"/>
      <w:r w:rsidRPr="00EA474D">
        <w:rPr>
          <w:b/>
          <w:bCs/>
          <w:i/>
          <w:iCs/>
          <w:szCs w:val="28"/>
        </w:rPr>
        <w:t>dead</w:t>
      </w:r>
      <w:proofErr w:type="spellEnd"/>
      <w:r w:rsidRPr="00EA474D">
        <w:rPr>
          <w:b/>
          <w:bCs/>
          <w:i/>
          <w:iCs/>
          <w:szCs w:val="28"/>
        </w:rPr>
        <w:t>»</w:t>
      </w:r>
    </w:p>
    <w:p w14:paraId="3E97FBDF" w14:textId="732C3135" w:rsidR="00253FC0" w:rsidRPr="00EA474D" w:rsidRDefault="00253FC0" w:rsidP="00EA474D">
      <w:pPr>
        <w:spacing w:line="288" w:lineRule="auto"/>
        <w:ind w:firstLine="708"/>
        <w:rPr>
          <w:szCs w:val="28"/>
        </w:rPr>
      </w:pPr>
      <w:r w:rsidRPr="00EA474D">
        <w:rPr>
          <w:szCs w:val="28"/>
        </w:rPr>
        <w:t>«</w:t>
      </w:r>
      <w:r w:rsidRPr="00EA474D">
        <w:rPr>
          <w:i/>
          <w:iCs/>
          <w:szCs w:val="28"/>
          <w:lang w:val="en-US"/>
        </w:rPr>
        <w:t>Moore</w:t>
      </w:r>
      <w:r w:rsidRPr="00EA474D">
        <w:rPr>
          <w:i/>
          <w:iCs/>
          <w:szCs w:val="28"/>
        </w:rPr>
        <w:t>’</w:t>
      </w:r>
      <w:r w:rsidRPr="00EA474D">
        <w:rPr>
          <w:i/>
          <w:iCs/>
          <w:szCs w:val="28"/>
          <w:lang w:val="en-US"/>
        </w:rPr>
        <w:t>s</w:t>
      </w:r>
      <w:r w:rsidRPr="00EA474D">
        <w:rPr>
          <w:i/>
          <w:iCs/>
          <w:szCs w:val="28"/>
        </w:rPr>
        <w:t xml:space="preserve"> </w:t>
      </w:r>
      <w:r w:rsidRPr="00EA474D">
        <w:rPr>
          <w:i/>
          <w:iCs/>
          <w:szCs w:val="28"/>
          <w:lang w:val="en-US"/>
        </w:rPr>
        <w:t>Law</w:t>
      </w:r>
      <w:r w:rsidRPr="00EA474D">
        <w:rPr>
          <w:i/>
          <w:iCs/>
          <w:szCs w:val="28"/>
        </w:rPr>
        <w:t>’</w:t>
      </w:r>
      <w:r w:rsidRPr="00EA474D">
        <w:rPr>
          <w:i/>
          <w:iCs/>
          <w:szCs w:val="28"/>
          <w:lang w:val="en-US"/>
        </w:rPr>
        <w:t>s</w:t>
      </w:r>
      <w:r w:rsidRPr="00EA474D">
        <w:rPr>
          <w:i/>
          <w:iCs/>
          <w:szCs w:val="28"/>
        </w:rPr>
        <w:t xml:space="preserve"> </w:t>
      </w:r>
      <w:r w:rsidRPr="00EA474D">
        <w:rPr>
          <w:i/>
          <w:iCs/>
          <w:szCs w:val="28"/>
          <w:lang w:val="en-US"/>
        </w:rPr>
        <w:t>dead</w:t>
      </w:r>
      <w:r w:rsidRPr="00EA474D">
        <w:rPr>
          <w:i/>
          <w:iCs/>
          <w:szCs w:val="28"/>
        </w:rPr>
        <w:t>…</w:t>
      </w:r>
      <w:r w:rsidRPr="00EA474D">
        <w:rPr>
          <w:i/>
          <w:iCs/>
          <w:szCs w:val="28"/>
          <w:lang w:val="en-US"/>
        </w:rPr>
        <w:t>It</w:t>
      </w:r>
      <w:r w:rsidRPr="00EA474D">
        <w:rPr>
          <w:i/>
          <w:iCs/>
          <w:szCs w:val="28"/>
        </w:rPr>
        <w:t>’</w:t>
      </w:r>
      <w:r w:rsidRPr="00EA474D">
        <w:rPr>
          <w:i/>
          <w:iCs/>
          <w:szCs w:val="28"/>
          <w:lang w:val="en-US"/>
        </w:rPr>
        <w:t>s</w:t>
      </w:r>
      <w:r w:rsidRPr="00EA474D">
        <w:rPr>
          <w:i/>
          <w:iCs/>
          <w:szCs w:val="28"/>
        </w:rPr>
        <w:t xml:space="preserve"> </w:t>
      </w:r>
      <w:r w:rsidRPr="00EA474D">
        <w:rPr>
          <w:i/>
          <w:iCs/>
          <w:szCs w:val="28"/>
          <w:lang w:val="en-US"/>
        </w:rPr>
        <w:t>completely</w:t>
      </w:r>
      <w:r w:rsidRPr="00EA474D">
        <w:rPr>
          <w:i/>
          <w:iCs/>
          <w:szCs w:val="28"/>
        </w:rPr>
        <w:t xml:space="preserve"> </w:t>
      </w:r>
      <w:r w:rsidRPr="00EA474D">
        <w:rPr>
          <w:i/>
          <w:iCs/>
          <w:szCs w:val="28"/>
          <w:lang w:val="en-US"/>
        </w:rPr>
        <w:t>over</w:t>
      </w:r>
      <w:r w:rsidRPr="00EA474D">
        <w:rPr>
          <w:i/>
          <w:iCs/>
          <w:szCs w:val="28"/>
        </w:rPr>
        <w:t>.»</w:t>
      </w:r>
      <w:r w:rsidRPr="00EA474D">
        <w:rPr>
          <w:i/>
          <w:iCs/>
          <w:szCs w:val="28"/>
        </w:rPr>
        <w:t xml:space="preserve"> </w:t>
      </w:r>
      <w:r w:rsidRPr="00EA474D">
        <w:rPr>
          <w:szCs w:val="28"/>
        </w:rPr>
        <w:t xml:space="preserve">сказал Дженсен </w:t>
      </w:r>
      <w:proofErr w:type="spellStart"/>
      <w:r w:rsidRPr="00EA474D">
        <w:rPr>
          <w:szCs w:val="28"/>
        </w:rPr>
        <w:t>Хуанг</w:t>
      </w:r>
      <w:proofErr w:type="spellEnd"/>
      <w:r w:rsidRPr="00EA474D">
        <w:rPr>
          <w:szCs w:val="28"/>
        </w:rPr>
        <w:t xml:space="preserve"> в 2022 году</w:t>
      </w:r>
      <w:r w:rsidR="00CB338F" w:rsidRPr="00EA474D">
        <w:rPr>
          <w:szCs w:val="28"/>
        </w:rPr>
        <w:t xml:space="preserve"> [3]</w:t>
      </w:r>
      <w:r w:rsidRPr="00EA474D">
        <w:rPr>
          <w:szCs w:val="28"/>
        </w:rPr>
        <w:t>.</w:t>
      </w:r>
      <w:r w:rsidR="00E8146A" w:rsidRPr="00EA474D">
        <w:rPr>
          <w:szCs w:val="28"/>
        </w:rPr>
        <w:t xml:space="preserve"> Если бы всё шло по закону Мура, то за более производительный продукт спустя 2 года потребитель заплатил бы точно такую же сумму, но, к сожалению, это не так.</w:t>
      </w:r>
    </w:p>
    <w:p w14:paraId="63989D18" w14:textId="2DCC8D21" w:rsidR="00C50279" w:rsidRPr="00EA474D" w:rsidRDefault="00305411" w:rsidP="00EA474D">
      <w:pPr>
        <w:spacing w:line="288" w:lineRule="auto"/>
        <w:ind w:firstLine="708"/>
        <w:rPr>
          <w:b/>
          <w:bCs/>
          <w:szCs w:val="28"/>
        </w:rPr>
      </w:pPr>
      <w:r w:rsidRPr="00EA474D">
        <w:rPr>
          <w:b/>
          <w:bCs/>
          <w:szCs w:val="28"/>
        </w:rPr>
        <w:t>Заключение</w:t>
      </w:r>
    </w:p>
    <w:p w14:paraId="43513789" w14:textId="1C38AE07" w:rsidR="00537D49" w:rsidRPr="00EA474D" w:rsidRDefault="00305411" w:rsidP="00EA474D">
      <w:pPr>
        <w:spacing w:line="288" w:lineRule="auto"/>
        <w:ind w:firstLine="708"/>
        <w:rPr>
          <w:szCs w:val="28"/>
        </w:rPr>
      </w:pPr>
      <w:r w:rsidRPr="00EA474D">
        <w:rPr>
          <w:szCs w:val="28"/>
        </w:rPr>
        <w:t>История закона Мура иллюстрирует, как важно предвидеть и анализировать границы и возможности технологического роста. Успешные прогнозы дают толчок развитию, но также важно учитывать, что не все прогнозы и законы будут работать вечно. Пример закона Мура напоминает нам, что наука и технологии развиваются поэтапно, и иногда старые прогнозы требуют корректировок, чтобы оставаться актуальными и полезными.</w:t>
      </w:r>
    </w:p>
    <w:p w14:paraId="02397D13" w14:textId="727FF17B" w:rsidR="00537D49" w:rsidRPr="00EA474D" w:rsidRDefault="00537D49" w:rsidP="00EA474D">
      <w:pPr>
        <w:spacing w:line="288" w:lineRule="auto"/>
        <w:rPr>
          <w:szCs w:val="28"/>
        </w:rPr>
      </w:pPr>
      <w:r w:rsidRPr="00EA474D">
        <w:rPr>
          <w:szCs w:val="28"/>
        </w:rPr>
        <w:tab/>
      </w:r>
    </w:p>
    <w:sectPr w:rsidR="00537D49" w:rsidRPr="00EA474D" w:rsidSect="009924CD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A4833"/>
    <w:multiLevelType w:val="hybridMultilevel"/>
    <w:tmpl w:val="1FFA0D74"/>
    <w:lvl w:ilvl="0" w:tplc="5CE65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29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B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6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42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02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A8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CE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0E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8A2E6F"/>
    <w:multiLevelType w:val="hybridMultilevel"/>
    <w:tmpl w:val="4446BCBE"/>
    <w:lvl w:ilvl="0" w:tplc="68E8E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2E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4A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0C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9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24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1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E3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01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3608441">
    <w:abstractNumId w:val="0"/>
  </w:num>
  <w:num w:numId="2" w16cid:durableId="62207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AE"/>
    <w:rsid w:val="00060074"/>
    <w:rsid w:val="000D3F7B"/>
    <w:rsid w:val="000E4F04"/>
    <w:rsid w:val="002050AE"/>
    <w:rsid w:val="00253FC0"/>
    <w:rsid w:val="00305411"/>
    <w:rsid w:val="003E1BD4"/>
    <w:rsid w:val="00487488"/>
    <w:rsid w:val="00512D88"/>
    <w:rsid w:val="00515A48"/>
    <w:rsid w:val="00537D49"/>
    <w:rsid w:val="005439B9"/>
    <w:rsid w:val="005E2148"/>
    <w:rsid w:val="005E53B8"/>
    <w:rsid w:val="00621C04"/>
    <w:rsid w:val="006602A0"/>
    <w:rsid w:val="006D09FA"/>
    <w:rsid w:val="0071519A"/>
    <w:rsid w:val="00791508"/>
    <w:rsid w:val="00802C92"/>
    <w:rsid w:val="0095485C"/>
    <w:rsid w:val="009924CD"/>
    <w:rsid w:val="00A60EBA"/>
    <w:rsid w:val="00B030FC"/>
    <w:rsid w:val="00B044D8"/>
    <w:rsid w:val="00B94A8D"/>
    <w:rsid w:val="00C10C6F"/>
    <w:rsid w:val="00C50279"/>
    <w:rsid w:val="00C64390"/>
    <w:rsid w:val="00C83196"/>
    <w:rsid w:val="00CB338F"/>
    <w:rsid w:val="00CF52A9"/>
    <w:rsid w:val="00D03DEE"/>
    <w:rsid w:val="00D46CDC"/>
    <w:rsid w:val="00D62EDD"/>
    <w:rsid w:val="00DA20A4"/>
    <w:rsid w:val="00E8146A"/>
    <w:rsid w:val="00EA474D"/>
    <w:rsid w:val="00EB5217"/>
    <w:rsid w:val="00F554FE"/>
    <w:rsid w:val="00F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D3ED"/>
  <w15:chartTrackingRefBased/>
  <w15:docId w15:val="{41B47E15-BFA5-44A6-A819-C4B2CFF5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F7B"/>
    <w:rPr>
      <w:color w:val="000000" w:themeColor="text1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3F7B"/>
    <w:pPr>
      <w:keepNext/>
      <w:keepLines/>
      <w:spacing w:after="240"/>
      <w:outlineLvl w:val="0"/>
    </w:pPr>
    <w:rPr>
      <w:rFonts w:eastAsiaTheme="majorEastAsia" w:cstheme="majorBidi"/>
      <w:kern w:val="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0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0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0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0A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0A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0A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0A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F7B"/>
    <w:rPr>
      <w:rFonts w:eastAsiaTheme="majorEastAsia" w:cstheme="majorBidi"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50A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050AE"/>
    <w:rPr>
      <w:rFonts w:asciiTheme="minorHAnsi" w:eastAsiaTheme="majorEastAsia" w:hAnsiTheme="minorHAnsi" w:cstheme="majorBidi"/>
      <w:color w:val="0F4761" w:themeColor="accent1" w:themeShade="BF"/>
      <w:kern w:val="0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050AE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050AE"/>
    <w:rPr>
      <w:rFonts w:asciiTheme="minorHAnsi" w:eastAsiaTheme="majorEastAsia" w:hAnsiTheme="minorHAnsi" w:cstheme="majorBidi"/>
      <w:color w:val="0F4761" w:themeColor="accent1" w:themeShade="BF"/>
      <w:kern w:val="0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050AE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050AE"/>
    <w:rPr>
      <w:rFonts w:asciiTheme="minorHAnsi" w:eastAsiaTheme="majorEastAsia" w:hAnsiTheme="minorHAnsi" w:cstheme="majorBidi"/>
      <w:color w:val="595959" w:themeColor="text1" w:themeTint="A6"/>
      <w:kern w:val="0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050AE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050AE"/>
    <w:rPr>
      <w:rFonts w:asciiTheme="minorHAnsi" w:eastAsiaTheme="majorEastAsia" w:hAnsiTheme="minorHAnsi" w:cstheme="majorBidi"/>
      <w:color w:val="272727" w:themeColor="text1" w:themeTint="D8"/>
      <w:kern w:val="0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050A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50A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050A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50AE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050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50AE"/>
    <w:rPr>
      <w:i/>
      <w:iCs/>
      <w:color w:val="404040" w:themeColor="text1" w:themeTint="BF"/>
      <w:kern w:val="0"/>
      <w:szCs w:val="22"/>
      <w14:ligatures w14:val="none"/>
    </w:rPr>
  </w:style>
  <w:style w:type="paragraph" w:styleId="a7">
    <w:name w:val="List Paragraph"/>
    <w:basedOn w:val="a"/>
    <w:uiPriority w:val="34"/>
    <w:qFormat/>
    <w:rsid w:val="002050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50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5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50AE"/>
    <w:rPr>
      <w:i/>
      <w:iCs/>
      <w:color w:val="0F4761" w:themeColor="accent1" w:themeShade="BF"/>
      <w:kern w:val="0"/>
      <w:szCs w:val="22"/>
      <w14:ligatures w14:val="none"/>
    </w:rPr>
  </w:style>
  <w:style w:type="character" w:styleId="ab">
    <w:name w:val="Intense Reference"/>
    <w:basedOn w:val="a0"/>
    <w:uiPriority w:val="32"/>
    <w:qFormat/>
    <w:rsid w:val="002050A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37D4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37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38</cp:revision>
  <dcterms:created xsi:type="dcterms:W3CDTF">2024-10-29T16:19:00Z</dcterms:created>
  <dcterms:modified xsi:type="dcterms:W3CDTF">2024-10-29T18:31:00Z</dcterms:modified>
</cp:coreProperties>
</file>