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C026" w14:textId="69F40DDE" w:rsidR="0071519A" w:rsidRDefault="00AC068A" w:rsidP="00AC068A">
      <w:pPr>
        <w:pStyle w:val="1"/>
        <w:jc w:val="center"/>
      </w:pPr>
      <w:r>
        <w:t>Методика определения кредитоспособности заемщика на основе методологических разработок (юр. лица)</w:t>
      </w:r>
    </w:p>
    <w:p w14:paraId="5B5A34C8" w14:textId="77777777" w:rsidR="007A7624" w:rsidRPr="007A7624" w:rsidRDefault="0027148F" w:rsidP="0027148F">
      <w:pPr>
        <w:rPr>
          <w:b/>
          <w:bCs/>
        </w:rPr>
      </w:pPr>
      <w:r>
        <w:tab/>
      </w:r>
      <w:r w:rsidR="007A7624" w:rsidRPr="007A7624">
        <w:rPr>
          <w:b/>
          <w:bCs/>
        </w:rPr>
        <w:t>Введение</w:t>
      </w:r>
    </w:p>
    <w:p w14:paraId="6B2BCDB8" w14:textId="7E494147" w:rsidR="0027148F" w:rsidRDefault="0066459A" w:rsidP="007A7624">
      <w:pPr>
        <w:ind w:firstLine="708"/>
      </w:pPr>
      <w:r>
        <w:t>Данная методика в тех или иных вариациях применяется для оценки</w:t>
      </w:r>
      <w:r w:rsidR="00390D11">
        <w:t xml:space="preserve"> кредитоспособности заёмщика, которая направлена на минимизацию кредитных рисков и уменьшение объёмов просроченной задолжности.</w:t>
      </w:r>
      <w:r w:rsidR="00C366A2">
        <w:t xml:space="preserve"> Использование её является довольно актуальной из-за повышений задолженности по кредитам</w:t>
      </w:r>
      <w:r w:rsidR="007A7624">
        <w:t>.</w:t>
      </w:r>
    </w:p>
    <w:p w14:paraId="0719CA3A" w14:textId="6E34199A" w:rsidR="007A7624" w:rsidRDefault="00200ADD" w:rsidP="0027148F">
      <w:r>
        <w:tab/>
      </w:r>
      <w:r w:rsidR="00B13E2B" w:rsidRPr="00B13E2B">
        <w:rPr>
          <w:b/>
          <w:bCs/>
        </w:rPr>
        <w:t>1</w:t>
      </w:r>
      <w:r w:rsidR="00B13E2B" w:rsidRPr="00B13E2B">
        <w:rPr>
          <w:b/>
          <w:bCs/>
        </w:rPr>
        <w:t xml:space="preserve"> </w:t>
      </w:r>
      <w:r w:rsidR="00B13E2B">
        <w:rPr>
          <w:b/>
          <w:bCs/>
        </w:rPr>
        <w:t>Х</w:t>
      </w:r>
      <w:r w:rsidR="00B13E2B" w:rsidRPr="00B13E2B">
        <w:rPr>
          <w:b/>
          <w:bCs/>
        </w:rPr>
        <w:t>арактеристика цели методики и объекта, для оценки которого она применяется</w:t>
      </w:r>
    </w:p>
    <w:p w14:paraId="7496DE97" w14:textId="11600D42" w:rsidR="00B13E2B" w:rsidRDefault="00B13E2B" w:rsidP="0027148F">
      <w:r>
        <w:tab/>
      </w:r>
      <w:r w:rsidR="002B2DAC" w:rsidRPr="002B2DAC">
        <w:t>Одним из самых важных этапов в организации процесса кредитования юридического лица является оценка его кредитоспособности</w:t>
      </w:r>
      <w:r w:rsidR="00B24FF1">
        <w:t>. Это и является целью методики.</w:t>
      </w:r>
    </w:p>
    <w:p w14:paraId="6A873128" w14:textId="4841014B" w:rsidR="00B24FF1" w:rsidRDefault="00B24FF1" w:rsidP="0027148F">
      <w:r>
        <w:tab/>
        <w:t>Объект данной методики является юридическое лицо.</w:t>
      </w:r>
    </w:p>
    <w:p w14:paraId="4951C04D" w14:textId="64863FBA" w:rsidR="00A42389" w:rsidRDefault="00A42389" w:rsidP="0027148F">
      <w:pPr>
        <w:rPr>
          <w:b/>
          <w:bCs/>
        </w:rPr>
      </w:pPr>
      <w:r>
        <w:tab/>
      </w:r>
      <w:r w:rsidRPr="00A42389">
        <w:rPr>
          <w:b/>
          <w:bCs/>
        </w:rPr>
        <w:t>2 Х</w:t>
      </w:r>
      <w:r w:rsidRPr="00A42389">
        <w:rPr>
          <w:b/>
          <w:bCs/>
        </w:rPr>
        <w:t>арактеристика частных показателей, применяемых в методике, и свойств системы, на оценку которых направлены данные показатели</w:t>
      </w:r>
    </w:p>
    <w:p w14:paraId="3CE7CEF7" w14:textId="2C89ED1A" w:rsidR="00367878" w:rsidRDefault="00367878" w:rsidP="0027148F">
      <w:r>
        <w:rPr>
          <w:b/>
          <w:bCs/>
        </w:rPr>
        <w:tab/>
      </w:r>
      <w:r w:rsidRPr="00367878">
        <w:t xml:space="preserve">Коэффициент абсолютной ликвидности </w:t>
      </w:r>
      <w:r w:rsidR="000535C6">
        <w:rPr>
          <w:i/>
          <w:iCs/>
          <w:lang w:val="en-US"/>
        </w:rPr>
        <w:t>K</w:t>
      </w:r>
      <w:r w:rsidRPr="00367878">
        <w:t xml:space="preserve">1 характеризует способность к моментальному погашению долговых обязательств и определяется как </w:t>
      </w:r>
      <w:r w:rsidR="00E76FD5" w:rsidRPr="00E76FD5">
        <w:t>отношение высоколиквидных активов к наиболее срочным кредитным обязательствам</w:t>
      </w:r>
      <w:r w:rsidR="009423BD">
        <w:t>.</w:t>
      </w:r>
    </w:p>
    <w:p w14:paraId="769AD9A4" w14:textId="51E5D585" w:rsidR="001D0282" w:rsidRDefault="001D0282" w:rsidP="0027148F">
      <w:r>
        <w:tab/>
      </w:r>
      <w:r w:rsidRPr="001D0282">
        <w:t xml:space="preserve">Промежуточный коэффициент покрытия </w:t>
      </w:r>
      <w:r w:rsidR="00EC13D5" w:rsidRPr="00EC13D5">
        <w:rPr>
          <w:lang w:val="en-US"/>
        </w:rPr>
        <w:t>K</w:t>
      </w:r>
      <w:r w:rsidRPr="00EC13D5">
        <w:t>2</w:t>
      </w:r>
      <w:r w:rsidRPr="001D0282">
        <w:t xml:space="preserve"> характеризует способность предприятия оперативно высвободить из хозяйственного оборота денежные средства и погасить долговые обязательства</w:t>
      </w:r>
      <w:r w:rsidR="000B2073">
        <w:t xml:space="preserve"> и определяется как </w:t>
      </w:r>
      <w:r w:rsidR="000B2073" w:rsidRPr="000B2073">
        <w:t>отношение высоколиквидных активов и задолженности ПЕРЕД юр. лицом (в ближайшие 12 месяцев) к срочным кредитным обязательствам</w:t>
      </w:r>
      <w:r w:rsidR="009423BD">
        <w:t>.</w:t>
      </w:r>
    </w:p>
    <w:p w14:paraId="59E0895B" w14:textId="3B499BD8" w:rsidR="009423BD" w:rsidRPr="00203AEA" w:rsidRDefault="009423BD" w:rsidP="0027148F">
      <w:r>
        <w:tab/>
      </w:r>
      <w:r w:rsidRPr="009423BD">
        <w:t xml:space="preserve">Коэффициент текущей ликвидности (общий коэффициент покрытия) </w:t>
      </w:r>
      <w:r w:rsidR="00EC13D5" w:rsidRPr="00EC13D5">
        <w:rPr>
          <w:i/>
          <w:iCs/>
          <w:lang w:val="en-US"/>
        </w:rPr>
        <w:t>K</w:t>
      </w:r>
      <w:r w:rsidRPr="009423BD">
        <w:t xml:space="preserve">3 </w:t>
      </w:r>
      <w:r w:rsidR="00203AEA">
        <w:t xml:space="preserve">– это </w:t>
      </w:r>
      <w:r w:rsidR="00203AEA" w:rsidRPr="00203AEA">
        <w:t>отношение активов, которые компания планирует использовать, продать или превратить в денежные средства к срочным кредитным обязательствам</w:t>
      </w:r>
      <w:r w:rsidR="00EC13D5">
        <w:t>.</w:t>
      </w:r>
    </w:p>
    <w:p w14:paraId="6AE414D0" w14:textId="42B6EB7D" w:rsidR="00B63478" w:rsidRDefault="00B63478" w:rsidP="0027148F">
      <w:r w:rsidRPr="00203AEA">
        <w:tab/>
      </w:r>
      <w:r w:rsidRPr="00B63478">
        <w:t xml:space="preserve">Коэффициент соотношения собственных и заемных средств </w:t>
      </w:r>
      <w:r w:rsidR="00E1137D" w:rsidRPr="00FF0F64">
        <w:rPr>
          <w:i/>
          <w:iCs/>
          <w:lang w:val="en-US"/>
        </w:rPr>
        <w:t>K</w:t>
      </w:r>
      <w:r w:rsidRPr="00E1137D">
        <w:t>4</w:t>
      </w:r>
      <w:r w:rsidRPr="00B63478">
        <w:t xml:space="preserve"> является одной из характеристик финансовой устойчивости предприятия и определяется </w:t>
      </w:r>
      <w:r w:rsidRPr="00B63478">
        <w:lastRenderedPageBreak/>
        <w:t xml:space="preserve">как </w:t>
      </w:r>
      <w:r w:rsidR="00A701C2" w:rsidRPr="00A701C2">
        <w:t>отношение активов на данный момент + будущий доход и будущие резервы компании к долго- и краткосрочным обязательствам - будущий доход и будущие резервы компании</w:t>
      </w:r>
      <w:r w:rsidR="00A51487" w:rsidRPr="00A51487">
        <w:t>.</w:t>
      </w:r>
      <w:r w:rsidR="00B035F4">
        <w:t xml:space="preserve"> </w:t>
      </w:r>
    </w:p>
    <w:p w14:paraId="5BAE646B" w14:textId="2F4FFFA9" w:rsidR="00814881" w:rsidRDefault="00814881" w:rsidP="00814881">
      <w:pPr>
        <w:ind w:left="720"/>
      </w:pPr>
      <w:r w:rsidRPr="00814881">
        <w:t xml:space="preserve">Рентабельность продаж </w:t>
      </w:r>
      <w:r w:rsidRPr="00814881">
        <w:rPr>
          <w:i/>
          <w:iCs/>
          <w:lang w:val="en-US"/>
        </w:rPr>
        <w:t>K</w:t>
      </w:r>
      <w:r w:rsidRPr="00814881">
        <w:t>5 – отношение прибыли к выручке.</w:t>
      </w:r>
    </w:p>
    <w:p w14:paraId="6DA6866F" w14:textId="5DD56E39" w:rsidR="00814881" w:rsidRDefault="009921FE" w:rsidP="009921FE">
      <w:pPr>
        <w:ind w:firstLine="720"/>
        <w:rPr>
          <w:lang w:val="en-US"/>
        </w:rPr>
      </w:pPr>
      <w:r>
        <w:t xml:space="preserve">Влияние данных показателей будет </w:t>
      </w:r>
      <w:r w:rsidR="00A0610D">
        <w:t>на категорию,</w:t>
      </w:r>
      <w:r>
        <w:t xml:space="preserve"> к которой отнесут юр. лицо</w:t>
      </w:r>
      <w:r w:rsidR="00F70BA6">
        <w:t>.</w:t>
      </w:r>
    </w:p>
    <w:p w14:paraId="26E6A205" w14:textId="0F465016" w:rsidR="00814881" w:rsidRPr="00F05BA0" w:rsidRDefault="00496985" w:rsidP="009921FE">
      <w:pPr>
        <w:ind w:firstLine="720"/>
        <w:rPr>
          <w:b/>
          <w:bCs/>
        </w:rPr>
      </w:pPr>
      <w:r w:rsidRPr="00F05BA0">
        <w:rPr>
          <w:b/>
          <w:bCs/>
        </w:rPr>
        <w:t xml:space="preserve">3 </w:t>
      </w:r>
      <w:r w:rsidR="00F05BA0">
        <w:rPr>
          <w:b/>
          <w:bCs/>
        </w:rPr>
        <w:t>Х</w:t>
      </w:r>
      <w:r w:rsidR="00F05BA0" w:rsidRPr="00F05BA0">
        <w:rPr>
          <w:b/>
          <w:bCs/>
        </w:rPr>
        <w:t>арактеристика алгоритма построения интегрального показателя для оценки объекта</w:t>
      </w:r>
      <w:r w:rsidR="00FE1D19">
        <w:rPr>
          <w:b/>
          <w:bCs/>
        </w:rPr>
        <w:t>.</w:t>
      </w:r>
    </w:p>
    <w:p w14:paraId="7A9940D1" w14:textId="7B028F47" w:rsidR="00496985" w:rsidRPr="00496985" w:rsidRDefault="00496985" w:rsidP="00496985">
      <w:pPr>
        <w:ind w:left="360"/>
      </w:pPr>
      <m:oMathPara>
        <m:oMath>
          <m:r>
            <w:rPr>
              <w:rFonts w:ascii="Cambria Math" w:hAnsi="Cambria Math"/>
              <w:lang w:val="en-US"/>
            </w:rPr>
            <m:t>S=0,11 ×Кат</m:t>
          </m:r>
          <m:r>
            <w:rPr>
              <w:rFonts w:ascii="Cambria Math" w:hAnsi="Cambria Math"/>
            </w:rPr>
            <m:t>егория </m:t>
          </m:r>
          <m:r>
            <w:rPr>
              <w:rFonts w:ascii="Cambria Math" w:hAnsi="Cambria Math"/>
              <w:lang w:val="en-US"/>
            </w:rPr>
            <m:t>K1+0,05×Кате</m:t>
          </m:r>
          <m:r>
            <w:rPr>
              <w:rFonts w:ascii="Cambria Math" w:hAnsi="Cambria Math"/>
            </w:rPr>
            <m:t>гория </m:t>
          </m:r>
          <m:r>
            <w:rPr>
              <w:rFonts w:ascii="Cambria Math" w:hAnsi="Cambria Math"/>
              <w:lang w:val="en-US"/>
            </w:rPr>
            <m:t>K2+0,42×</m:t>
          </m:r>
          <m:r>
            <w:rPr>
              <w:rFonts w:ascii="Cambria Math" w:hAnsi="Cambria Math"/>
            </w:rPr>
            <m:t>Категория </m:t>
          </m:r>
          <m:r>
            <w:rPr>
              <w:rFonts w:ascii="Cambria Math" w:hAnsi="Cambria Math"/>
              <w:lang w:val="en-US"/>
            </w:rPr>
            <m:t>K3+0,21×</m:t>
          </m:r>
          <m:r>
            <w:rPr>
              <w:rFonts w:ascii="Cambria Math" w:hAnsi="Cambria Math"/>
            </w:rPr>
            <m:t>Категория </m:t>
          </m:r>
          <m:r>
            <w:rPr>
              <w:rFonts w:ascii="Cambria Math" w:hAnsi="Cambria Math"/>
              <w:lang w:val="en-US"/>
            </w:rPr>
            <m:t>K4+0,21×</m:t>
          </m:r>
          <m:r>
            <w:rPr>
              <w:rFonts w:ascii="Cambria Math" w:hAnsi="Cambria Math"/>
            </w:rPr>
            <m:t>Категория </m:t>
          </m:r>
          <m:r>
            <w:rPr>
              <w:rFonts w:ascii="Cambria Math" w:hAnsi="Cambria Math"/>
              <w:lang w:val="en-US"/>
            </w:rPr>
            <m:t>K5</m:t>
          </m:r>
        </m:oMath>
      </m:oMathPara>
    </w:p>
    <w:p w14:paraId="72CB7FD3" w14:textId="79BECDD5" w:rsidR="00814881" w:rsidRPr="00814881" w:rsidRDefault="00635348" w:rsidP="009921FE">
      <w:pPr>
        <w:ind w:firstLine="720"/>
        <w:rPr>
          <w:b/>
          <w:bCs/>
        </w:rPr>
      </w:pPr>
      <w:r w:rsidRPr="00635348">
        <w:rPr>
          <w:b/>
          <w:bCs/>
        </w:rPr>
        <w:t>4 Х</w:t>
      </w:r>
      <w:r w:rsidRPr="00635348">
        <w:rPr>
          <w:b/>
          <w:bCs/>
        </w:rPr>
        <w:t>арактеристика критерия для принятия решения с использованием интегрального показателя</w:t>
      </w:r>
      <w:r w:rsidR="00820DE7">
        <w:rPr>
          <w:b/>
          <w:bCs/>
        </w:rPr>
        <w:t>.</w:t>
      </w:r>
    </w:p>
    <w:p w14:paraId="42BF142F" w14:textId="77777777" w:rsidR="00586D4F" w:rsidRDefault="00586D4F" w:rsidP="0027148F">
      <w:r>
        <w:tab/>
      </w:r>
      <w:r w:rsidRPr="00586D4F">
        <w:t>Сумма баллов S влияет на рейтинг заемщика следующим образом:</w:t>
      </w:r>
    </w:p>
    <w:p w14:paraId="4BD5A1A0" w14:textId="63772C74" w:rsidR="00586D4F" w:rsidRDefault="00B035F4" w:rsidP="00586D4F">
      <w:pPr>
        <w:ind w:firstLine="708"/>
      </w:pPr>
      <w:r>
        <w:t>–</w:t>
      </w:r>
      <w:r w:rsidR="00586D4F">
        <w:t> </w:t>
      </w:r>
      <w:r w:rsidR="00586D4F" w:rsidRPr="00586D4F">
        <w:t xml:space="preserve">S = </w:t>
      </w:r>
      <w:r w:rsidR="00D06EA4" w:rsidRPr="00586D4F">
        <w:t xml:space="preserve">равно или больше 2,42 </w:t>
      </w:r>
      <w:r w:rsidR="00586D4F" w:rsidRPr="00586D4F">
        <w:t>– заемщик может быть отнесен к первому классу кредитоспособности</w:t>
      </w:r>
      <w:r w:rsidR="00F71C95">
        <w:t>,</w:t>
      </w:r>
      <w:r w:rsidR="00F71C95" w:rsidRPr="00F71C95">
        <w:t xml:space="preserve"> </w:t>
      </w:r>
      <w:r w:rsidR="00F71C95" w:rsidRPr="00F71C95">
        <w:t>кредитование которых не вызывает сомнений</w:t>
      </w:r>
      <w:r w:rsidR="00586D4F" w:rsidRPr="00586D4F">
        <w:t xml:space="preserve">; </w:t>
      </w:r>
    </w:p>
    <w:p w14:paraId="532EC65D" w14:textId="53767F4C" w:rsidR="00586D4F" w:rsidRDefault="00B035F4" w:rsidP="00586D4F">
      <w:pPr>
        <w:ind w:firstLine="708"/>
      </w:pPr>
      <w:r>
        <w:t>–</w:t>
      </w:r>
      <w:r w:rsidR="00586D4F">
        <w:t> </w:t>
      </w:r>
      <w:r w:rsidR="00586D4F" w:rsidRPr="00586D4F">
        <w:t>S больше 1,05, но меньше 2,42 – соответствует второму классу</w:t>
      </w:r>
      <w:r w:rsidR="00F71C95">
        <w:t xml:space="preserve"> и </w:t>
      </w:r>
      <w:r w:rsidR="00F71C95" w:rsidRPr="00F71C95">
        <w:t>кредитование требует взвешенного подхода</w:t>
      </w:r>
      <w:r w:rsidR="00586D4F" w:rsidRPr="00586D4F">
        <w:t xml:space="preserve">; </w:t>
      </w:r>
    </w:p>
    <w:p w14:paraId="1AF00CCC" w14:textId="4C519EF8" w:rsidR="00814881" w:rsidRDefault="00B035F4" w:rsidP="00586D4F">
      <w:pPr>
        <w:ind w:firstLine="708"/>
      </w:pPr>
      <w:r>
        <w:t>–</w:t>
      </w:r>
      <w:r w:rsidR="00586D4F">
        <w:t> </w:t>
      </w:r>
      <w:r w:rsidR="00586D4F" w:rsidRPr="00586D4F">
        <w:t xml:space="preserve">S равно или </w:t>
      </w:r>
      <w:r w:rsidR="00D06EA4">
        <w:t>меньше</w:t>
      </w:r>
      <w:r w:rsidR="00586D4F" w:rsidRPr="00586D4F">
        <w:t xml:space="preserve"> </w:t>
      </w:r>
      <w:r w:rsidR="00D06EA4">
        <w:t>1</w:t>
      </w:r>
      <w:r w:rsidR="00D06EA4" w:rsidRPr="00F71C95">
        <w:t>,05</w:t>
      </w:r>
      <w:r w:rsidR="00586D4F" w:rsidRPr="00586D4F">
        <w:t xml:space="preserve"> – соответствует третьему классу</w:t>
      </w:r>
      <w:r w:rsidR="00F71C95">
        <w:t xml:space="preserve"> и </w:t>
      </w:r>
      <w:r w:rsidR="00F71C95" w:rsidRPr="00F71C95">
        <w:t>кредитование связано с повышенным риском</w:t>
      </w:r>
    </w:p>
    <w:p w14:paraId="3BDED808" w14:textId="306C8ADF" w:rsidR="00A31A4C" w:rsidRDefault="00A31A4C" w:rsidP="00586D4F">
      <w:pPr>
        <w:ind w:firstLine="708"/>
        <w:rPr>
          <w:b/>
          <w:bCs/>
        </w:rPr>
      </w:pPr>
      <w:r w:rsidRPr="00A31A4C">
        <w:rPr>
          <w:b/>
          <w:bCs/>
        </w:rPr>
        <w:t>5 Х</w:t>
      </w:r>
      <w:r w:rsidRPr="00A31A4C">
        <w:rPr>
          <w:b/>
          <w:bCs/>
        </w:rPr>
        <w:t>арактеристика области применения результатов методики.</w:t>
      </w:r>
    </w:p>
    <w:p w14:paraId="3B746FB3" w14:textId="4507FC2B" w:rsidR="00996944" w:rsidRPr="00996944" w:rsidRDefault="00996944" w:rsidP="00586D4F">
      <w:pPr>
        <w:ind w:firstLine="708"/>
      </w:pPr>
      <w:r>
        <w:t>Кредитование в банках</w:t>
      </w:r>
      <w:r w:rsidR="00A24CD5">
        <w:t>.</w:t>
      </w:r>
    </w:p>
    <w:sectPr w:rsidR="00996944" w:rsidRPr="00996944" w:rsidSect="009924CD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E7E1B"/>
    <w:multiLevelType w:val="hybridMultilevel"/>
    <w:tmpl w:val="52CCAD24"/>
    <w:lvl w:ilvl="0" w:tplc="B9BA9A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42D4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88A8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BA9F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9027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401F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7AC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CC0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0839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FFE033E"/>
    <w:multiLevelType w:val="hybridMultilevel"/>
    <w:tmpl w:val="14901730"/>
    <w:lvl w:ilvl="0" w:tplc="1102F4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A8D6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6A90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4EEA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1235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F208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F270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78E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CA61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F4623C1"/>
    <w:multiLevelType w:val="hybridMultilevel"/>
    <w:tmpl w:val="D248CFD0"/>
    <w:lvl w:ilvl="0" w:tplc="048478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0E1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301A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E611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AAAD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F69A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2CC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365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F4EA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64115036">
    <w:abstractNumId w:val="1"/>
  </w:num>
  <w:num w:numId="2" w16cid:durableId="137379611">
    <w:abstractNumId w:val="0"/>
  </w:num>
  <w:num w:numId="3" w16cid:durableId="14431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A"/>
    <w:rsid w:val="000535C6"/>
    <w:rsid w:val="000B2073"/>
    <w:rsid w:val="000D3F7B"/>
    <w:rsid w:val="00122EEF"/>
    <w:rsid w:val="001D0282"/>
    <w:rsid w:val="00200ADD"/>
    <w:rsid w:val="00203AEA"/>
    <w:rsid w:val="0027148F"/>
    <w:rsid w:val="002B2DAC"/>
    <w:rsid w:val="00367878"/>
    <w:rsid w:val="00390D11"/>
    <w:rsid w:val="003E5C0B"/>
    <w:rsid w:val="00487488"/>
    <w:rsid w:val="00496985"/>
    <w:rsid w:val="00515A48"/>
    <w:rsid w:val="00586D4F"/>
    <w:rsid w:val="00621C04"/>
    <w:rsid w:val="00635348"/>
    <w:rsid w:val="0066459A"/>
    <w:rsid w:val="0071519A"/>
    <w:rsid w:val="007216BB"/>
    <w:rsid w:val="007A7624"/>
    <w:rsid w:val="00814881"/>
    <w:rsid w:val="00820DE7"/>
    <w:rsid w:val="009423BD"/>
    <w:rsid w:val="009921FE"/>
    <w:rsid w:val="009924CD"/>
    <w:rsid w:val="00996944"/>
    <w:rsid w:val="009F0D6A"/>
    <w:rsid w:val="00A0610D"/>
    <w:rsid w:val="00A24CD5"/>
    <w:rsid w:val="00A31A4C"/>
    <w:rsid w:val="00A42389"/>
    <w:rsid w:val="00A51487"/>
    <w:rsid w:val="00A701C2"/>
    <w:rsid w:val="00A92B9B"/>
    <w:rsid w:val="00AC068A"/>
    <w:rsid w:val="00AC7C10"/>
    <w:rsid w:val="00B030FC"/>
    <w:rsid w:val="00B035F4"/>
    <w:rsid w:val="00B13E2B"/>
    <w:rsid w:val="00B24FF1"/>
    <w:rsid w:val="00B63478"/>
    <w:rsid w:val="00C366A2"/>
    <w:rsid w:val="00D06EA4"/>
    <w:rsid w:val="00DA66CA"/>
    <w:rsid w:val="00E1137D"/>
    <w:rsid w:val="00E76FD5"/>
    <w:rsid w:val="00EC13D5"/>
    <w:rsid w:val="00F05BA0"/>
    <w:rsid w:val="00F70BA6"/>
    <w:rsid w:val="00F71C95"/>
    <w:rsid w:val="00FE1D19"/>
    <w:rsid w:val="00F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8A9C"/>
  <w15:chartTrackingRefBased/>
  <w15:docId w15:val="{B33ACB31-8F51-49D2-9B36-17E41D68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F7B"/>
    <w:rPr>
      <w:color w:val="000000" w:themeColor="text1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5C0B"/>
    <w:pPr>
      <w:keepNext/>
      <w:keepLines/>
      <w:spacing w:before="240" w:after="240"/>
      <w:outlineLvl w:val="0"/>
    </w:pPr>
    <w:rPr>
      <w:rFonts w:eastAsiaTheme="majorEastAsia" w:cstheme="majorBidi"/>
      <w:kern w:val="2"/>
      <w:sz w:val="3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6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6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6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6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C0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068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C068A"/>
    <w:rPr>
      <w:rFonts w:asciiTheme="minorHAnsi" w:eastAsiaTheme="majorEastAsia" w:hAnsiTheme="minorHAnsi" w:cstheme="majorBidi"/>
      <w:color w:val="0F4761" w:themeColor="accent1" w:themeShade="BF"/>
      <w:kern w:val="0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C068A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C068A"/>
    <w:rPr>
      <w:rFonts w:asciiTheme="minorHAnsi" w:eastAsiaTheme="majorEastAsia" w:hAnsiTheme="minorHAnsi" w:cstheme="majorBidi"/>
      <w:color w:val="0F4761" w:themeColor="accent1" w:themeShade="BF"/>
      <w:kern w:val="0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C068A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C068A"/>
    <w:rPr>
      <w:rFonts w:asciiTheme="minorHAnsi" w:eastAsiaTheme="majorEastAsia" w:hAnsiTheme="minorHAnsi" w:cstheme="majorBidi"/>
      <w:color w:val="595959" w:themeColor="text1" w:themeTint="A6"/>
      <w:kern w:val="0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C068A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C068A"/>
    <w:rPr>
      <w:rFonts w:asciiTheme="minorHAnsi" w:eastAsiaTheme="majorEastAsia" w:hAnsiTheme="minorHAnsi" w:cstheme="majorBidi"/>
      <w:color w:val="272727" w:themeColor="text1" w:themeTint="D8"/>
      <w:kern w:val="0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C068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068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C06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068A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C0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068A"/>
    <w:rPr>
      <w:i/>
      <w:iCs/>
      <w:color w:val="404040" w:themeColor="text1" w:themeTint="BF"/>
      <w:kern w:val="0"/>
      <w:szCs w:val="22"/>
      <w14:ligatures w14:val="none"/>
    </w:rPr>
  </w:style>
  <w:style w:type="paragraph" w:styleId="a7">
    <w:name w:val="List Paragraph"/>
    <w:basedOn w:val="a"/>
    <w:uiPriority w:val="34"/>
    <w:qFormat/>
    <w:rsid w:val="00AC06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06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0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068A"/>
    <w:rPr>
      <w:i/>
      <w:iCs/>
      <w:color w:val="0F4761" w:themeColor="accent1" w:themeShade="BF"/>
      <w:kern w:val="0"/>
      <w:szCs w:val="22"/>
      <w14:ligatures w14:val="none"/>
    </w:rPr>
  </w:style>
  <w:style w:type="character" w:styleId="ab">
    <w:name w:val="Intense Reference"/>
    <w:basedOn w:val="a0"/>
    <w:uiPriority w:val="32"/>
    <w:qFormat/>
    <w:rsid w:val="00AC0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47</cp:revision>
  <dcterms:created xsi:type="dcterms:W3CDTF">2024-12-12T16:48:00Z</dcterms:created>
  <dcterms:modified xsi:type="dcterms:W3CDTF">2024-12-12T20:27:00Z</dcterms:modified>
</cp:coreProperties>
</file>