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E74B5"/>
          <w:sz w:val="20"/>
        </w:rPr>
        <w:t>MACHINE LEARNING PROJECT REPORT</w:t>
      </w:r>
    </w:p>
    <w:p>
      <w:pPr>
        <w:spacing w:before="360" w:after="200"/>
        <w:jc w:val="center"/>
      </w:pPr>
      <w:r>
        <w:rPr>
          <w:b/>
          <w:color w:val="203748"/>
          <w:sz w:val="60"/>
        </w:rPr>
        <w:t>Early Prediction of Player Churn in Mobile Games</w:t>
      </w:r>
    </w:p>
    <w:p>
      <w:pPr>
        <w:spacing w:after="600"/>
        <w:jc w:val="center"/>
      </w:pPr>
      <w:r>
        <w:rPr>
          <w:color w:val="1F4D78"/>
          <w:sz w:val="30"/>
        </w:rPr>
        <w:t>Gameplay event aggregation, comparative modeling, and explainable AI</w:t>
      </w:r>
    </w:p>
    <w:p>
      <w:pPr>
        <w:jc w:val="center"/>
      </w:pPr>
      <w:r>
        <w:rPr>
          <w:color w:val="606A74"/>
        </w:rPr>
        <w:t>CSE437  |  BRAC University  |  August 2026</w:t>
      </w:r>
    </w:p>
    <w:p/>
    <w:p>
      <w:pPr>
        <w:pStyle w:val="Lead"/>
        <w:jc w:val="center"/>
      </w:pPr>
      <w:r>
        <w:t>Research question: Can early level-attempt behavior identify players who will become inactive in the following week?</w:t>
      </w:r>
    </w:p>
    <w:p>
      <w:r>
        <w:br w:type="page"/>
      </w:r>
    </w:p>
    <w:p>
      <w:pPr>
        <w:pStyle w:val="Heading1"/>
      </w:pPr>
      <w:r>
        <w:t>1. Project Goal</w:t>
      </w:r>
    </w:p>
    <w:p>
      <w:r>
        <w:t>This project develops an early-warning machine-learning system for mobile-game player churn. The goal is to predict whether a player will become inactive in the following week using only behavior observed during the initial gameplay window, compare several classification approaches, and explain the behavioral patterns behind the strongest model so that retention teams can identify where supportive interventions may be useful.</w:t>
      </w:r>
    </w:p>
    <w:p>
      <w:pPr>
        <w:pStyle w:val="Heading1"/>
      </w:pPr>
      <w:r>
        <w:t>2. Method</w:t>
      </w:r>
    </w:p>
    <w:p>
      <w:pPr>
        <w:pStyle w:val="Heading2"/>
      </w:pPr>
      <w:r>
        <w:t>2.1 Dataset and prediction target</w:t>
      </w:r>
    </w:p>
    <w:p>
      <w:r>
        <w:t>The public Prediction of User Loss in Mobile Games dataset contains anonymized player labels, level-attempt logs, and level metadata. A label of 1 indicates that the player did not log in during the following week; label 0 indicates retention. The source files use tab delimiters despite their .csv extension. The official train, development, and test memberships were preserved.</w:t>
      </w:r>
    </w:p>
    <w:tbl>
      <w:tblPr>
        <w:tblStyle w:val="TableGrid"/>
        <w:tblW w:type="dxa" w:w="9360"/>
        <w:jc w:val="left"/>
        <w:tblLayout w:type="fixed"/>
        <w:tblLook w:firstColumn="1" w:firstRow="1" w:lastColumn="0" w:lastRow="0" w:noHBand="0" w:noVBand="1" w:val="04A0"/>
        <w:tblInd w:w="120" w:type="dxa"/>
      </w:tblPr>
      <w:tblGrid>
        <w:gridCol w:w="1800"/>
        <w:gridCol w:w="4860"/>
        <w:gridCol w:w="2700"/>
      </w:tblGrid>
      <w:tr>
        <w:trPr>
          <w:tblHeader/>
        </w:trPr>
        <w:tc>
          <w:tcPr>
            <w:tcW w:type="dxa" w:w="1800"/>
            <w:shd w:fill="E8EEF5"/>
            <w:vAlign w:val="center"/>
            <w:tcMar>
              <w:top w:w="80" w:type="dxa"/>
              <w:start w:w="120" w:type="dxa"/>
              <w:bottom w:w="80" w:type="dxa"/>
              <w:end w:w="120" w:type="dxa"/>
            </w:tcMar>
          </w:tcPr>
          <w:p>
            <w:r>
              <w:rPr>
                <w:b/>
                <w:color w:val="203748"/>
                <w:sz w:val="18"/>
              </w:rPr>
              <w:t>Source</w:t>
            </w:r>
          </w:p>
        </w:tc>
        <w:tc>
          <w:tcPr>
            <w:tcW w:type="dxa" w:w="4860"/>
            <w:shd w:fill="E8EEF5"/>
            <w:vAlign w:val="center"/>
            <w:tcMar>
              <w:top w:w="80" w:type="dxa"/>
              <w:start w:w="120" w:type="dxa"/>
              <w:bottom w:w="80" w:type="dxa"/>
              <w:end w:w="120" w:type="dxa"/>
            </w:tcMar>
          </w:tcPr>
          <w:p>
            <w:r>
              <w:rPr>
                <w:b/>
                <w:color w:val="203748"/>
                <w:sz w:val="18"/>
              </w:rPr>
              <w:t>Role</w:t>
            </w:r>
          </w:p>
        </w:tc>
        <w:tc>
          <w:tcPr>
            <w:tcW w:type="dxa" w:w="2700"/>
            <w:shd w:fill="E8EEF5"/>
            <w:vAlign w:val="center"/>
            <w:tcMar>
              <w:top w:w="80" w:type="dxa"/>
              <w:start w:w="120" w:type="dxa"/>
              <w:bottom w:w="80" w:type="dxa"/>
              <w:end w:w="120" w:type="dxa"/>
            </w:tcMar>
          </w:tcPr>
          <w:p>
            <w:r>
              <w:rPr>
                <w:b/>
                <w:color w:val="203748"/>
                <w:sz w:val="18"/>
              </w:rPr>
              <w:t>Records</w:t>
            </w:r>
          </w:p>
        </w:tc>
      </w:tr>
      <w:tr>
        <w:tc>
          <w:tcPr>
            <w:tcW w:type="dxa" w:w="1800"/>
            <w:vAlign w:val="center"/>
            <w:tcMar>
              <w:top w:w="80" w:type="dxa"/>
              <w:start w:w="120" w:type="dxa"/>
              <w:bottom w:w="80" w:type="dxa"/>
              <w:end w:w="120" w:type="dxa"/>
            </w:tcMar>
          </w:tcPr>
          <w:p>
            <w:pPr>
              <w:spacing w:after="0" w:line="240" w:lineRule="auto"/>
            </w:pPr>
            <w:r>
              <w:rPr>
                <w:sz w:val="18"/>
              </w:rPr>
              <w:t>train.csv</w:t>
            </w:r>
          </w:p>
        </w:tc>
        <w:tc>
          <w:tcPr>
            <w:tcW w:type="dxa" w:w="4860"/>
            <w:vAlign w:val="center"/>
            <w:tcMar>
              <w:top w:w="80" w:type="dxa"/>
              <w:start w:w="120" w:type="dxa"/>
              <w:bottom w:w="80" w:type="dxa"/>
              <w:end w:w="120" w:type="dxa"/>
            </w:tcMar>
          </w:tcPr>
          <w:p>
            <w:pPr>
              <w:spacing w:after="0" w:line="240" w:lineRule="auto"/>
            </w:pPr>
            <w:r>
              <w:rPr>
                <w:sz w:val="18"/>
              </w:rPr>
              <w:t>Model development labels</w:t>
            </w:r>
          </w:p>
        </w:tc>
        <w:tc>
          <w:tcPr>
            <w:tcW w:type="dxa" w:w="2700"/>
            <w:vAlign w:val="center"/>
            <w:tcMar>
              <w:top w:w="80" w:type="dxa"/>
              <w:start w:w="120" w:type="dxa"/>
              <w:bottom w:w="80" w:type="dxa"/>
              <w:end w:w="120" w:type="dxa"/>
            </w:tcMar>
          </w:tcPr>
          <w:p>
            <w:pPr>
              <w:spacing w:after="0" w:line="240" w:lineRule="auto"/>
            </w:pPr>
            <w:r>
              <w:rPr>
                <w:sz w:val="18"/>
              </w:rPr>
              <w:t>8,158 players</w:t>
            </w:r>
          </w:p>
        </w:tc>
      </w:tr>
      <w:tr>
        <w:tc>
          <w:tcPr>
            <w:tcW w:type="dxa" w:w="1800"/>
            <w:vAlign w:val="center"/>
            <w:tcMar>
              <w:top w:w="80" w:type="dxa"/>
              <w:start w:w="120" w:type="dxa"/>
              <w:bottom w:w="80" w:type="dxa"/>
              <w:end w:w="120" w:type="dxa"/>
            </w:tcMar>
          </w:tcPr>
          <w:p>
            <w:pPr>
              <w:spacing w:after="0" w:line="240" w:lineRule="auto"/>
            </w:pPr>
            <w:r>
              <w:rPr>
                <w:sz w:val="18"/>
              </w:rPr>
              <w:t>dev.csv</w:t>
            </w:r>
          </w:p>
        </w:tc>
        <w:tc>
          <w:tcPr>
            <w:tcW w:type="dxa" w:w="4860"/>
            <w:vAlign w:val="center"/>
            <w:tcMar>
              <w:top w:w="80" w:type="dxa"/>
              <w:start w:w="120" w:type="dxa"/>
              <w:bottom w:w="80" w:type="dxa"/>
              <w:end w:w="120" w:type="dxa"/>
            </w:tcMar>
          </w:tcPr>
          <w:p>
            <w:pPr>
              <w:spacing w:after="0" w:line="240" w:lineRule="auto"/>
            </w:pPr>
            <w:r>
              <w:rPr>
                <w:sz w:val="18"/>
              </w:rPr>
              <w:t>Untouched final evaluation labels</w:t>
            </w:r>
          </w:p>
        </w:tc>
        <w:tc>
          <w:tcPr>
            <w:tcW w:type="dxa" w:w="2700"/>
            <w:vAlign w:val="center"/>
            <w:tcMar>
              <w:top w:w="80" w:type="dxa"/>
              <w:start w:w="120" w:type="dxa"/>
              <w:bottom w:w="80" w:type="dxa"/>
              <w:end w:w="120" w:type="dxa"/>
            </w:tcMar>
          </w:tcPr>
          <w:p>
            <w:pPr>
              <w:spacing w:after="0" w:line="240" w:lineRule="auto"/>
            </w:pPr>
            <w:r>
              <w:rPr>
                <w:sz w:val="18"/>
              </w:rPr>
              <w:t>2,658 players</w:t>
            </w:r>
          </w:p>
        </w:tc>
      </w:tr>
      <w:tr>
        <w:tc>
          <w:tcPr>
            <w:tcW w:type="dxa" w:w="1800"/>
            <w:vAlign w:val="center"/>
            <w:tcMar>
              <w:top w:w="80" w:type="dxa"/>
              <w:start w:w="120" w:type="dxa"/>
              <w:bottom w:w="80" w:type="dxa"/>
              <w:end w:w="120" w:type="dxa"/>
            </w:tcMar>
          </w:tcPr>
          <w:p>
            <w:pPr>
              <w:spacing w:after="0" w:line="240" w:lineRule="auto"/>
            </w:pPr>
            <w:r>
              <w:rPr>
                <w:sz w:val="18"/>
              </w:rPr>
              <w:t>test.csv</w:t>
            </w:r>
          </w:p>
        </w:tc>
        <w:tc>
          <w:tcPr>
            <w:tcW w:type="dxa" w:w="4860"/>
            <w:vAlign w:val="center"/>
            <w:tcMar>
              <w:top w:w="80" w:type="dxa"/>
              <w:start w:w="120" w:type="dxa"/>
              <w:bottom w:w="80" w:type="dxa"/>
              <w:end w:w="120" w:type="dxa"/>
            </w:tcMar>
          </w:tcPr>
          <w:p>
            <w:pPr>
              <w:spacing w:after="0" w:line="240" w:lineRule="auto"/>
            </w:pPr>
            <w:r>
              <w:rPr>
                <w:sz w:val="18"/>
              </w:rPr>
              <w:t>Unlabeled final predictions</w:t>
            </w:r>
          </w:p>
        </w:tc>
        <w:tc>
          <w:tcPr>
            <w:tcW w:type="dxa" w:w="2700"/>
            <w:vAlign w:val="center"/>
            <w:tcMar>
              <w:top w:w="80" w:type="dxa"/>
              <w:start w:w="120" w:type="dxa"/>
              <w:bottom w:w="80" w:type="dxa"/>
              <w:end w:w="120" w:type="dxa"/>
            </w:tcMar>
          </w:tcPr>
          <w:p>
            <w:pPr>
              <w:spacing w:after="0" w:line="240" w:lineRule="auto"/>
            </w:pPr>
            <w:r>
              <w:rPr>
                <w:sz w:val="18"/>
              </w:rPr>
              <w:t>2,773 players</w:t>
            </w:r>
          </w:p>
        </w:tc>
      </w:tr>
      <w:tr>
        <w:tc>
          <w:tcPr>
            <w:tcW w:type="dxa" w:w="1800"/>
            <w:vAlign w:val="center"/>
            <w:tcMar>
              <w:top w:w="80" w:type="dxa"/>
              <w:start w:w="120" w:type="dxa"/>
              <w:bottom w:w="80" w:type="dxa"/>
              <w:end w:w="120" w:type="dxa"/>
            </w:tcMar>
          </w:tcPr>
          <w:p>
            <w:pPr>
              <w:spacing w:after="0" w:line="240" w:lineRule="auto"/>
            </w:pPr>
            <w:r>
              <w:rPr>
                <w:sz w:val="18"/>
              </w:rPr>
              <w:t>level_seq.csv</w:t>
            </w:r>
          </w:p>
        </w:tc>
        <w:tc>
          <w:tcPr>
            <w:tcW w:type="dxa" w:w="4860"/>
            <w:vAlign w:val="center"/>
            <w:tcMar>
              <w:top w:w="80" w:type="dxa"/>
              <w:start w:w="120" w:type="dxa"/>
              <w:bottom w:w="80" w:type="dxa"/>
              <w:end w:w="120" w:type="dxa"/>
            </w:tcMar>
          </w:tcPr>
          <w:p>
            <w:pPr>
              <w:spacing w:after="0" w:line="240" w:lineRule="auto"/>
            </w:pPr>
            <w:r>
              <w:rPr>
                <w:sz w:val="18"/>
              </w:rPr>
              <w:t>Timestamped gameplay attempts</w:t>
            </w:r>
          </w:p>
        </w:tc>
        <w:tc>
          <w:tcPr>
            <w:tcW w:type="dxa" w:w="2700"/>
            <w:vAlign w:val="center"/>
            <w:tcMar>
              <w:top w:w="80" w:type="dxa"/>
              <w:start w:w="120" w:type="dxa"/>
              <w:bottom w:w="80" w:type="dxa"/>
              <w:end w:w="120" w:type="dxa"/>
            </w:tcMar>
          </w:tcPr>
          <w:p>
            <w:pPr>
              <w:spacing w:after="0" w:line="240" w:lineRule="auto"/>
            </w:pPr>
            <w:r>
              <w:rPr>
                <w:sz w:val="18"/>
              </w:rPr>
              <w:t>2,194,351 events</w:t>
            </w:r>
          </w:p>
        </w:tc>
      </w:tr>
      <w:tr>
        <w:tc>
          <w:tcPr>
            <w:tcW w:type="dxa" w:w="1800"/>
            <w:vAlign w:val="center"/>
            <w:tcMar>
              <w:top w:w="80" w:type="dxa"/>
              <w:start w:w="120" w:type="dxa"/>
              <w:bottom w:w="80" w:type="dxa"/>
              <w:end w:w="120" w:type="dxa"/>
            </w:tcMar>
          </w:tcPr>
          <w:p>
            <w:pPr>
              <w:spacing w:after="0" w:line="240" w:lineRule="auto"/>
            </w:pPr>
            <w:r>
              <w:rPr>
                <w:sz w:val="18"/>
              </w:rPr>
              <w:t>level_meta.csv</w:t>
            </w:r>
          </w:p>
        </w:tc>
        <w:tc>
          <w:tcPr>
            <w:tcW w:type="dxa" w:w="4860"/>
            <w:vAlign w:val="center"/>
            <w:tcMar>
              <w:top w:w="80" w:type="dxa"/>
              <w:start w:w="120" w:type="dxa"/>
              <w:bottom w:w="80" w:type="dxa"/>
              <w:end w:w="120" w:type="dxa"/>
            </w:tcMar>
          </w:tcPr>
          <w:p>
            <w:pPr>
              <w:spacing w:after="0" w:line="240" w:lineRule="auto"/>
            </w:pPr>
            <w:r>
              <w:rPr>
                <w:sz w:val="18"/>
              </w:rPr>
              <w:t>Level difficulty and duration metadata</w:t>
            </w:r>
          </w:p>
        </w:tc>
        <w:tc>
          <w:tcPr>
            <w:tcW w:type="dxa" w:w="2700"/>
            <w:vAlign w:val="center"/>
            <w:tcMar>
              <w:top w:w="80" w:type="dxa"/>
              <w:start w:w="120" w:type="dxa"/>
              <w:bottom w:w="80" w:type="dxa"/>
              <w:end w:w="120" w:type="dxa"/>
            </w:tcMar>
          </w:tcPr>
          <w:p>
            <w:pPr>
              <w:spacing w:after="0" w:line="240" w:lineRule="auto"/>
            </w:pPr>
            <w:r>
              <w:rPr>
                <w:sz w:val="18"/>
              </w:rPr>
              <w:t>1,509 levels</w:t>
            </w:r>
          </w:p>
        </w:tc>
      </w:tr>
    </w:tbl>
    <w:p>
      <w:pPr>
        <w:spacing w:after="0"/>
      </w:pPr>
    </w:p>
    <w:p>
      <w:pPr>
        <w:pStyle w:val="Caption"/>
        <w:jc w:val="left"/>
      </w:pPr>
      <w:r>
        <w:t>Dataset source: Kaggle, manchvictor/prediction-of-user-loss-in-mobile-games.</w:t>
      </w:r>
    </w:p>
    <w:p>
      <w:pPr>
        <w:pStyle w:val="Heading2"/>
      </w:pPr>
      <w:r>
        <w:t>2.2 Data cleaning and integration</w:t>
      </w:r>
    </w:p>
    <w:p>
      <w:r>
        <w:t>The pipeline parsed the five tab-separated sources with explicit date-time conversion, checked player identifiers for uniqueness within each official split, joined level metadata to every attempt using level_id, sorted attempts by player and time, and rejected any split member without gameplay events. Generated infinite values were converted to missing values and handled by median imputation inside each model pipeline. This fold-local preprocessing prevents validation information from leaking into training.</w:t>
      </w:r>
    </w:p>
    <w:p>
      <w:pPr>
        <w:pStyle w:val="Heading2"/>
      </w:pPr>
      <w:r>
        <w:t>2.3 Player-level feature engineering</w:t>
      </w:r>
    </w:p>
    <w:p>
      <w:r>
        <w:t>The 2.19 million event rows were aggregated into 41 numeric predictors per player. The feature groups cover activity volume (attempts, unique levels, sessions, active days), progression (maximum and mean level), performance (success, failure, retry, help use, remaining steps), duration, temporal behavior (weekend/night activity, observation span, recency), level difficulty, and recent-form changes computed over the last 25 attempts. user_id was retained only for joins and never entered a model.</w:t>
      </w:r>
    </w:p>
    <w:p>
      <w:pPr>
        <w:pStyle w:val="Heading2"/>
      </w:pPr>
      <w:r>
        <w:t>2.4 Class balance and evaluation criteria</w:t>
      </w:r>
    </w:p>
    <w:p>
      <w:r>
        <w:t>Churned players form 33.5% of the training set, placing the project in Group 2: mild imbalance (minority class between 5% and 40%). In accordance with the project guidance, model comparison emphasizes AUROC, precision, and recall; F1-score is also reported for direct comparison. AUPRC is retained as an additional minority-class summary. Accuracy is shown but is not used as the primary selection criterion.</w:t>
      </w:r>
    </w:p>
    <w:p>
      <w:pPr>
        <w:jc w:val="center"/>
      </w:pPr>
      <w:r>
        <w:drawing>
          <wp:inline xmlns:a="http://schemas.openxmlformats.org/drawingml/2006/main" xmlns:pic="http://schemas.openxmlformats.org/drawingml/2006/picture">
            <wp:extent cx="4937760" cy="3418449"/>
            <wp:docPr id="1" name="Picture 1"/>
            <wp:cNvGraphicFramePr>
              <a:graphicFrameLocks noChangeAspect="1"/>
            </wp:cNvGraphicFramePr>
            <a:graphic>
              <a:graphicData uri="http://schemas.openxmlformats.org/drawingml/2006/picture">
                <pic:pic>
                  <pic:nvPicPr>
                    <pic:cNvPr id="0" name="eda_class_distribution.png"/>
                    <pic:cNvPicPr/>
                  </pic:nvPicPr>
                  <pic:blipFill>
                    <a:blip r:embed="rId11"/>
                    <a:stretch>
                      <a:fillRect/>
                    </a:stretch>
                  </pic:blipFill>
                  <pic:spPr>
                    <a:xfrm>
                      <a:off x="0" y="0"/>
                      <a:ext cx="4937760" cy="3418449"/>
                    </a:xfrm>
                    <a:prstGeom prst="rect"/>
                  </pic:spPr>
                </pic:pic>
              </a:graphicData>
            </a:graphic>
          </wp:inline>
        </w:drawing>
      </w:r>
    </w:p>
    <w:p>
      <w:pPr>
        <w:pStyle w:val="Caption"/>
        <w:jc w:val="center"/>
      </w:pPr>
      <w:r>
        <w:t>Figure 1. Training-set class distribution; the minority churn class represents 33.5% of players.</w:t>
      </w:r>
    </w:p>
    <w:p>
      <w:pPr>
        <w:pStyle w:val="Heading2"/>
      </w:pPr>
      <w:r>
        <w:t>2.5 Research workflow</w:t>
      </w:r>
    </w:p>
    <w:p>
      <w:pPr>
        <w:jc w:val="center"/>
      </w:pPr>
      <w:r>
        <w:drawing>
          <wp:inline xmlns:a="http://schemas.openxmlformats.org/drawingml/2006/main" xmlns:pic="http://schemas.openxmlformats.org/drawingml/2006/picture">
            <wp:extent cx="5897880" cy="1282916"/>
            <wp:docPr id="2" name="Picture 2"/>
            <wp:cNvGraphicFramePr>
              <a:graphicFrameLocks noChangeAspect="1"/>
            </wp:cNvGraphicFramePr>
            <a:graphic>
              <a:graphicData uri="http://schemas.openxmlformats.org/drawingml/2006/picture">
                <pic:pic>
                  <pic:nvPicPr>
                    <pic:cNvPr id="0" name="research_workflow.png"/>
                    <pic:cNvPicPr/>
                  </pic:nvPicPr>
                  <pic:blipFill>
                    <a:blip r:embed="rId12"/>
                    <a:stretch>
                      <a:fillRect/>
                    </a:stretch>
                  </pic:blipFill>
                  <pic:spPr>
                    <a:xfrm>
                      <a:off x="0" y="0"/>
                      <a:ext cx="5897880" cy="1282916"/>
                    </a:xfrm>
                    <a:prstGeom prst="rect"/>
                  </pic:spPr>
                </pic:pic>
              </a:graphicData>
            </a:graphic>
          </wp:inline>
        </w:drawing>
      </w:r>
    </w:p>
    <w:p>
      <w:pPr>
        <w:pStyle w:val="Caption"/>
        <w:jc w:val="center"/>
      </w:pPr>
      <w:r>
        <w:t>Figure 2. End-to-end research workflow with the development split isolated from all selection decisions.</w:t>
      </w:r>
    </w:p>
    <w:p>
      <w:pPr>
        <w:pStyle w:val="Heading2"/>
      </w:pPr>
      <w:r>
        <w:t>2.6 Model training and selection</w:t>
      </w:r>
    </w:p>
    <w:p>
      <w:r>
        <w:t>Four model families were compared: Logistic Regression, Random Forest, Histogram Gradient Boosting, and XGBoost. Each family received 15 randomized hyperparameter configurations evaluated through five-fold stratified cross-validation on the training split. The configuration with the highest mean cross-validated AUROC defined the winner. The Random Forest used 770 trees, maximum depth 8, square-root feature sampling, and minimum leaf size 4.</w:t>
      </w:r>
    </w:p>
    <w:p>
      <w:pPr>
        <w:pStyle w:val="Heading2"/>
      </w:pPr>
      <w:r>
        <w:t>2.7 Threshold selection, uncertainty, and explanation</w:t>
      </w:r>
    </w:p>
    <w:p>
      <w:r>
        <w:t>Cross-validated out-of-fold probabilities from the selected training model were used to choose a decision threshold that maximized churn F1, with recall used to break ties. The selected threshold was 0.320. Only after fixing the model and threshold was the official development set evaluated once. Uncertainty was estimated using 1,000 bootstrap resamples. SHAP values summarized global feature influence and an individual prediction, while false-positive and false-negative groups supported error analysis.</w:t>
      </w:r>
    </w:p>
    <w:p>
      <w:pPr>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threshold_selection.png"/>
                    <pic:cNvPicPr/>
                  </pic:nvPicPr>
                  <pic:blipFill>
                    <a:blip r:embed="rId13"/>
                    <a:stretch>
                      <a:fillRect/>
                    </a:stretch>
                  </pic:blipFill>
                  <pic:spPr>
                    <a:xfrm>
                      <a:off x="0" y="0"/>
                      <a:ext cx="5394960" cy="3371850"/>
                    </a:xfrm>
                    <a:prstGeom prst="rect"/>
                  </pic:spPr>
                </pic:pic>
              </a:graphicData>
            </a:graphic>
          </wp:inline>
        </w:drawing>
      </w:r>
    </w:p>
    <w:p>
      <w:pPr>
        <w:pStyle w:val="Caption"/>
        <w:jc w:val="center"/>
      </w:pPr>
      <w:r>
        <w:t>Figure 3. Training out-of-fold threshold selection; no development labels were used.</w:t>
      </w:r>
    </w:p>
    <w:p>
      <w:r>
        <w:br w:type="page"/>
      </w:r>
    </w:p>
    <w:p>
      <w:pPr>
        <w:pStyle w:val="Heading1"/>
      </w:pPr>
      <w:r>
        <w:t>3. Results</w:t>
      </w:r>
    </w:p>
    <w:p>
      <w:pPr>
        <w:pStyle w:val="Heading2"/>
      </w:pPr>
      <w:r>
        <w:t>3.1 Comparative model performance</w:t>
      </w:r>
    </w:p>
    <w:tbl>
      <w:tblPr>
        <w:tblStyle w:val="TableGrid"/>
        <w:tblW w:type="dxa" w:w="9360"/>
        <w:jc w:val="left"/>
        <w:tblLayout w:type="fixed"/>
        <w:tblLook w:firstColumn="1" w:firstRow="1" w:lastColumn="0" w:lastRow="0" w:noHBand="0" w:noVBand="1" w:val="04A0"/>
        <w:tblInd w:w="120" w:type="dxa"/>
      </w:tblPr>
      <w:tblGrid>
        <w:gridCol w:w="2160"/>
        <w:gridCol w:w="1200"/>
        <w:gridCol w:w="1200"/>
        <w:gridCol w:w="1200"/>
        <w:gridCol w:w="1200"/>
        <w:gridCol w:w="1200"/>
        <w:gridCol w:w="1200"/>
      </w:tblGrid>
      <w:tr>
        <w:trPr>
          <w:tblHeader/>
        </w:trPr>
        <w:tc>
          <w:tcPr>
            <w:tcW w:type="dxa" w:w="2160"/>
            <w:shd w:fill="E8EEF5"/>
            <w:vAlign w:val="center"/>
            <w:tcMar>
              <w:top w:w="80" w:type="dxa"/>
              <w:start w:w="120" w:type="dxa"/>
              <w:bottom w:w="80" w:type="dxa"/>
              <w:end w:w="120" w:type="dxa"/>
            </w:tcMar>
          </w:tcPr>
          <w:p>
            <w:r>
              <w:rPr>
                <w:b/>
                <w:color w:val="203748"/>
                <w:sz w:val="18"/>
              </w:rPr>
              <w:t>Model</w:t>
            </w:r>
          </w:p>
        </w:tc>
        <w:tc>
          <w:tcPr>
            <w:tcW w:type="dxa" w:w="1200"/>
            <w:shd w:fill="E8EEF5"/>
            <w:vAlign w:val="center"/>
            <w:tcMar>
              <w:top w:w="80" w:type="dxa"/>
              <w:start w:w="120" w:type="dxa"/>
              <w:bottom w:w="80" w:type="dxa"/>
              <w:end w:w="120" w:type="dxa"/>
            </w:tcMar>
          </w:tcPr>
          <w:p>
            <w:r>
              <w:rPr>
                <w:b/>
                <w:color w:val="203748"/>
                <w:sz w:val="18"/>
              </w:rPr>
              <w:t>CV AUROC</w:t>
            </w:r>
          </w:p>
        </w:tc>
        <w:tc>
          <w:tcPr>
            <w:tcW w:type="dxa" w:w="1200"/>
            <w:shd w:fill="E8EEF5"/>
            <w:vAlign w:val="center"/>
            <w:tcMar>
              <w:top w:w="80" w:type="dxa"/>
              <w:start w:w="120" w:type="dxa"/>
              <w:bottom w:w="80" w:type="dxa"/>
              <w:end w:w="120" w:type="dxa"/>
            </w:tcMar>
          </w:tcPr>
          <w:p>
            <w:r>
              <w:rPr>
                <w:b/>
                <w:color w:val="203748"/>
                <w:sz w:val="18"/>
              </w:rPr>
              <w:t>Dev AUROC</w:t>
            </w:r>
          </w:p>
        </w:tc>
        <w:tc>
          <w:tcPr>
            <w:tcW w:type="dxa" w:w="1200"/>
            <w:shd w:fill="E8EEF5"/>
            <w:vAlign w:val="center"/>
            <w:tcMar>
              <w:top w:w="80" w:type="dxa"/>
              <w:start w:w="120" w:type="dxa"/>
              <w:bottom w:w="80" w:type="dxa"/>
              <w:end w:w="120" w:type="dxa"/>
            </w:tcMar>
          </w:tcPr>
          <w:p>
            <w:r>
              <w:rPr>
                <w:b/>
                <w:color w:val="203748"/>
                <w:sz w:val="18"/>
              </w:rPr>
              <w:t>Precision</w:t>
            </w:r>
          </w:p>
        </w:tc>
        <w:tc>
          <w:tcPr>
            <w:tcW w:type="dxa" w:w="1200"/>
            <w:shd w:fill="E8EEF5"/>
            <w:vAlign w:val="center"/>
            <w:tcMar>
              <w:top w:w="80" w:type="dxa"/>
              <w:start w:w="120" w:type="dxa"/>
              <w:bottom w:w="80" w:type="dxa"/>
              <w:end w:w="120" w:type="dxa"/>
            </w:tcMar>
          </w:tcPr>
          <w:p>
            <w:r>
              <w:rPr>
                <w:b/>
                <w:color w:val="203748"/>
                <w:sz w:val="18"/>
              </w:rPr>
              <w:t>Recall</w:t>
            </w:r>
          </w:p>
        </w:tc>
        <w:tc>
          <w:tcPr>
            <w:tcW w:type="dxa" w:w="1200"/>
            <w:shd w:fill="E8EEF5"/>
            <w:vAlign w:val="center"/>
            <w:tcMar>
              <w:top w:w="80" w:type="dxa"/>
              <w:start w:w="120" w:type="dxa"/>
              <w:bottom w:w="80" w:type="dxa"/>
              <w:end w:w="120" w:type="dxa"/>
            </w:tcMar>
          </w:tcPr>
          <w:p>
            <w:r>
              <w:rPr>
                <w:b/>
                <w:color w:val="203748"/>
                <w:sz w:val="18"/>
              </w:rPr>
              <w:t>F1</w:t>
            </w:r>
          </w:p>
        </w:tc>
        <w:tc>
          <w:tcPr>
            <w:tcW w:type="dxa" w:w="1200"/>
            <w:shd w:fill="E8EEF5"/>
            <w:vAlign w:val="center"/>
            <w:tcMar>
              <w:top w:w="80" w:type="dxa"/>
              <w:start w:w="120" w:type="dxa"/>
              <w:bottom w:w="80" w:type="dxa"/>
              <w:end w:w="120" w:type="dxa"/>
            </w:tcMar>
          </w:tcPr>
          <w:p>
            <w:r>
              <w:rPr>
                <w:b/>
                <w:color w:val="203748"/>
                <w:sz w:val="18"/>
              </w:rPr>
              <w:t>AUPRC</w:t>
            </w:r>
          </w:p>
        </w:tc>
      </w:tr>
      <w:tr>
        <w:tc>
          <w:tcPr>
            <w:tcW w:type="dxa" w:w="2160"/>
            <w:vAlign w:val="center"/>
            <w:tcMar>
              <w:top w:w="80" w:type="dxa"/>
              <w:start w:w="120" w:type="dxa"/>
              <w:bottom w:w="80" w:type="dxa"/>
              <w:end w:w="120" w:type="dxa"/>
            </w:tcMar>
            <w:shd w:fill="EDF6FA"/>
          </w:tcPr>
          <w:p>
            <w:pPr>
              <w:spacing w:after="0" w:line="240" w:lineRule="auto"/>
            </w:pPr>
            <w:r>
              <w:rPr>
                <w:b/>
                <w:sz w:val="18"/>
              </w:rPr>
              <w:t>Random Forest</w:t>
            </w:r>
          </w:p>
        </w:tc>
        <w:tc>
          <w:tcPr>
            <w:tcW w:type="dxa" w:w="1200"/>
            <w:vAlign w:val="center"/>
            <w:tcMar>
              <w:top w:w="80" w:type="dxa"/>
              <w:start w:w="120" w:type="dxa"/>
              <w:bottom w:w="80" w:type="dxa"/>
              <w:end w:w="120" w:type="dxa"/>
            </w:tcMar>
            <w:shd w:fill="EDF6FA"/>
          </w:tcPr>
          <w:p>
            <w:pPr>
              <w:spacing w:after="0" w:line="240" w:lineRule="auto"/>
            </w:pPr>
            <w:r>
              <w:rPr>
                <w:b/>
                <w:sz w:val="18"/>
              </w:rPr>
              <w:t>0.8067</w:t>
            </w:r>
          </w:p>
        </w:tc>
        <w:tc>
          <w:tcPr>
            <w:tcW w:type="dxa" w:w="1200"/>
            <w:vAlign w:val="center"/>
            <w:tcMar>
              <w:top w:w="80" w:type="dxa"/>
              <w:start w:w="120" w:type="dxa"/>
              <w:bottom w:w="80" w:type="dxa"/>
              <w:end w:w="120" w:type="dxa"/>
            </w:tcMar>
            <w:shd w:fill="EDF6FA"/>
          </w:tcPr>
          <w:p>
            <w:pPr>
              <w:spacing w:after="0" w:line="240" w:lineRule="auto"/>
            </w:pPr>
            <w:r>
              <w:rPr>
                <w:b/>
                <w:sz w:val="18"/>
              </w:rPr>
              <w:t>0.8024</w:t>
            </w:r>
          </w:p>
        </w:tc>
        <w:tc>
          <w:tcPr>
            <w:tcW w:type="dxa" w:w="1200"/>
            <w:vAlign w:val="center"/>
            <w:tcMar>
              <w:top w:w="80" w:type="dxa"/>
              <w:start w:w="120" w:type="dxa"/>
              <w:bottom w:w="80" w:type="dxa"/>
              <w:end w:w="120" w:type="dxa"/>
            </w:tcMar>
            <w:shd w:fill="EDF6FA"/>
          </w:tcPr>
          <w:p>
            <w:pPr>
              <w:spacing w:after="0" w:line="240" w:lineRule="auto"/>
            </w:pPr>
            <w:r>
              <w:rPr>
                <w:b/>
                <w:sz w:val="18"/>
              </w:rPr>
              <w:t>0.5789</w:t>
            </w:r>
          </w:p>
        </w:tc>
        <w:tc>
          <w:tcPr>
            <w:tcW w:type="dxa" w:w="1200"/>
            <w:vAlign w:val="center"/>
            <w:tcMar>
              <w:top w:w="80" w:type="dxa"/>
              <w:start w:w="120" w:type="dxa"/>
              <w:bottom w:w="80" w:type="dxa"/>
              <w:end w:w="120" w:type="dxa"/>
            </w:tcMar>
            <w:shd w:fill="EDF6FA"/>
          </w:tcPr>
          <w:p>
            <w:pPr>
              <w:spacing w:after="0" w:line="240" w:lineRule="auto"/>
            </w:pPr>
            <w:r>
              <w:rPr>
                <w:b/>
                <w:sz w:val="18"/>
              </w:rPr>
              <w:t>0.7814</w:t>
            </w:r>
          </w:p>
        </w:tc>
        <w:tc>
          <w:tcPr>
            <w:tcW w:type="dxa" w:w="1200"/>
            <w:vAlign w:val="center"/>
            <w:tcMar>
              <w:top w:w="80" w:type="dxa"/>
              <w:start w:w="120" w:type="dxa"/>
              <w:bottom w:w="80" w:type="dxa"/>
              <w:end w:w="120" w:type="dxa"/>
            </w:tcMar>
            <w:shd w:fill="EDF6FA"/>
          </w:tcPr>
          <w:p>
            <w:pPr>
              <w:spacing w:after="0" w:line="240" w:lineRule="auto"/>
            </w:pPr>
            <w:r>
              <w:rPr>
                <w:b/>
                <w:sz w:val="18"/>
              </w:rPr>
              <w:t>0.6651</w:t>
            </w:r>
          </w:p>
        </w:tc>
        <w:tc>
          <w:tcPr>
            <w:tcW w:type="dxa" w:w="1200"/>
            <w:vAlign w:val="center"/>
            <w:tcMar>
              <w:top w:w="80" w:type="dxa"/>
              <w:start w:w="120" w:type="dxa"/>
              <w:bottom w:w="80" w:type="dxa"/>
              <w:end w:w="120" w:type="dxa"/>
            </w:tcMar>
            <w:shd w:fill="EDF6FA"/>
          </w:tcPr>
          <w:p>
            <w:pPr>
              <w:spacing w:after="0" w:line="240" w:lineRule="auto"/>
            </w:pPr>
            <w:r>
              <w:rPr>
                <w:b/>
                <w:sz w:val="18"/>
              </w:rPr>
              <w:t>0.6359</w:t>
            </w:r>
          </w:p>
        </w:tc>
      </w:tr>
      <w:tr>
        <w:tc>
          <w:tcPr>
            <w:tcW w:type="dxa" w:w="2160"/>
            <w:vAlign w:val="center"/>
            <w:tcMar>
              <w:top w:w="80" w:type="dxa"/>
              <w:start w:w="120" w:type="dxa"/>
              <w:bottom w:w="80" w:type="dxa"/>
              <w:end w:w="120" w:type="dxa"/>
            </w:tcMar>
          </w:tcPr>
          <w:p>
            <w:pPr>
              <w:spacing w:after="0" w:line="240" w:lineRule="auto"/>
            </w:pPr>
            <w:r>
              <w:rPr>
                <w:sz w:val="18"/>
              </w:rPr>
              <w:t>Xgboost</w:t>
            </w:r>
          </w:p>
        </w:tc>
        <w:tc>
          <w:tcPr>
            <w:tcW w:type="dxa" w:w="1200"/>
            <w:vAlign w:val="center"/>
            <w:tcMar>
              <w:top w:w="80" w:type="dxa"/>
              <w:start w:w="120" w:type="dxa"/>
              <w:bottom w:w="80" w:type="dxa"/>
              <w:end w:w="120" w:type="dxa"/>
            </w:tcMar>
          </w:tcPr>
          <w:p>
            <w:pPr>
              <w:spacing w:after="0" w:line="240" w:lineRule="auto"/>
            </w:pPr>
            <w:r>
              <w:rPr>
                <w:sz w:val="18"/>
              </w:rPr>
              <w:t>0.8059</w:t>
            </w:r>
          </w:p>
        </w:tc>
        <w:tc>
          <w:tcPr>
            <w:tcW w:type="dxa" w:w="1200"/>
            <w:vAlign w:val="center"/>
            <w:tcMar>
              <w:top w:w="80" w:type="dxa"/>
              <w:start w:w="120" w:type="dxa"/>
              <w:bottom w:w="80" w:type="dxa"/>
              <w:end w:w="120" w:type="dxa"/>
            </w:tcMar>
          </w:tcPr>
          <w:p>
            <w:pPr>
              <w:spacing w:after="0" w:line="240" w:lineRule="auto"/>
            </w:pPr>
            <w:r>
              <w:rPr>
                <w:sz w:val="18"/>
              </w:rPr>
              <w:t>0.8021</w:t>
            </w:r>
          </w:p>
        </w:tc>
        <w:tc>
          <w:tcPr>
            <w:tcW w:type="dxa" w:w="1200"/>
            <w:vAlign w:val="center"/>
            <w:tcMar>
              <w:top w:w="80" w:type="dxa"/>
              <w:start w:w="120" w:type="dxa"/>
              <w:bottom w:w="80" w:type="dxa"/>
              <w:end w:w="120" w:type="dxa"/>
            </w:tcMar>
          </w:tcPr>
          <w:p>
            <w:pPr>
              <w:spacing w:after="0" w:line="240" w:lineRule="auto"/>
            </w:pPr>
            <w:r>
              <w:rPr>
                <w:sz w:val="18"/>
              </w:rPr>
              <w:t>0.6427</w:t>
            </w:r>
          </w:p>
        </w:tc>
        <w:tc>
          <w:tcPr>
            <w:tcW w:type="dxa" w:w="1200"/>
            <w:vAlign w:val="center"/>
            <w:tcMar>
              <w:top w:w="80" w:type="dxa"/>
              <w:start w:w="120" w:type="dxa"/>
              <w:bottom w:w="80" w:type="dxa"/>
              <w:end w:w="120" w:type="dxa"/>
            </w:tcMar>
          </w:tcPr>
          <w:p>
            <w:pPr>
              <w:spacing w:after="0" w:line="240" w:lineRule="auto"/>
            </w:pPr>
            <w:r>
              <w:rPr>
                <w:sz w:val="18"/>
              </w:rPr>
              <w:t>0.5649</w:t>
            </w:r>
          </w:p>
        </w:tc>
        <w:tc>
          <w:tcPr>
            <w:tcW w:type="dxa" w:w="1200"/>
            <w:vAlign w:val="center"/>
            <w:tcMar>
              <w:top w:w="80" w:type="dxa"/>
              <w:start w:w="120" w:type="dxa"/>
              <w:bottom w:w="80" w:type="dxa"/>
              <w:end w:w="120" w:type="dxa"/>
            </w:tcMar>
          </w:tcPr>
          <w:p>
            <w:pPr>
              <w:spacing w:after="0" w:line="240" w:lineRule="auto"/>
            </w:pPr>
            <w:r>
              <w:rPr>
                <w:sz w:val="18"/>
              </w:rPr>
              <w:t>0.6013</w:t>
            </w:r>
          </w:p>
        </w:tc>
        <w:tc>
          <w:tcPr>
            <w:tcW w:type="dxa" w:w="1200"/>
            <w:vAlign w:val="center"/>
            <w:tcMar>
              <w:top w:w="80" w:type="dxa"/>
              <w:start w:w="120" w:type="dxa"/>
              <w:bottom w:w="80" w:type="dxa"/>
              <w:end w:w="120" w:type="dxa"/>
            </w:tcMar>
          </w:tcPr>
          <w:p>
            <w:pPr>
              <w:spacing w:after="0" w:line="240" w:lineRule="auto"/>
            </w:pPr>
            <w:r>
              <w:rPr>
                <w:sz w:val="18"/>
              </w:rPr>
              <w:t>0.6385</w:t>
            </w:r>
          </w:p>
        </w:tc>
      </w:tr>
      <w:tr>
        <w:tc>
          <w:tcPr>
            <w:tcW w:type="dxa" w:w="2160"/>
            <w:vAlign w:val="center"/>
            <w:tcMar>
              <w:top w:w="80" w:type="dxa"/>
              <w:start w:w="120" w:type="dxa"/>
              <w:bottom w:w="80" w:type="dxa"/>
              <w:end w:w="120" w:type="dxa"/>
            </w:tcMar>
          </w:tcPr>
          <w:p>
            <w:pPr>
              <w:spacing w:after="0" w:line="240" w:lineRule="auto"/>
            </w:pPr>
            <w:r>
              <w:rPr>
                <w:sz w:val="18"/>
              </w:rPr>
              <w:t>Logistic Regression</w:t>
            </w:r>
          </w:p>
        </w:tc>
        <w:tc>
          <w:tcPr>
            <w:tcW w:type="dxa" w:w="1200"/>
            <w:vAlign w:val="center"/>
            <w:tcMar>
              <w:top w:w="80" w:type="dxa"/>
              <w:start w:w="120" w:type="dxa"/>
              <w:bottom w:w="80" w:type="dxa"/>
              <w:end w:w="120" w:type="dxa"/>
            </w:tcMar>
          </w:tcPr>
          <w:p>
            <w:pPr>
              <w:spacing w:after="0" w:line="240" w:lineRule="auto"/>
            </w:pPr>
            <w:r>
              <w:rPr>
                <w:sz w:val="18"/>
              </w:rPr>
              <w:t>0.8051</w:t>
            </w:r>
          </w:p>
        </w:tc>
        <w:tc>
          <w:tcPr>
            <w:tcW w:type="dxa" w:w="1200"/>
            <w:vAlign w:val="center"/>
            <w:tcMar>
              <w:top w:w="80" w:type="dxa"/>
              <w:start w:w="120" w:type="dxa"/>
              <w:bottom w:w="80" w:type="dxa"/>
              <w:end w:w="120" w:type="dxa"/>
            </w:tcMar>
          </w:tcPr>
          <w:p>
            <w:pPr>
              <w:spacing w:after="0" w:line="240" w:lineRule="auto"/>
            </w:pPr>
            <w:r>
              <w:rPr>
                <w:sz w:val="18"/>
              </w:rPr>
              <w:t>0.8053</w:t>
            </w:r>
          </w:p>
        </w:tc>
        <w:tc>
          <w:tcPr>
            <w:tcW w:type="dxa" w:w="1200"/>
            <w:vAlign w:val="center"/>
            <w:tcMar>
              <w:top w:w="80" w:type="dxa"/>
              <w:start w:w="120" w:type="dxa"/>
              <w:bottom w:w="80" w:type="dxa"/>
              <w:end w:w="120" w:type="dxa"/>
            </w:tcMar>
          </w:tcPr>
          <w:p>
            <w:pPr>
              <w:spacing w:after="0" w:line="240" w:lineRule="auto"/>
            </w:pPr>
            <w:r>
              <w:rPr>
                <w:sz w:val="18"/>
              </w:rPr>
              <w:t>0.6053</w:t>
            </w:r>
          </w:p>
        </w:tc>
        <w:tc>
          <w:tcPr>
            <w:tcW w:type="dxa" w:w="1200"/>
            <w:vAlign w:val="center"/>
            <w:tcMar>
              <w:top w:w="80" w:type="dxa"/>
              <w:start w:w="120" w:type="dxa"/>
              <w:bottom w:w="80" w:type="dxa"/>
              <w:end w:w="120" w:type="dxa"/>
            </w:tcMar>
          </w:tcPr>
          <w:p>
            <w:pPr>
              <w:spacing w:after="0" w:line="240" w:lineRule="auto"/>
            </w:pPr>
            <w:r>
              <w:rPr>
                <w:sz w:val="18"/>
              </w:rPr>
              <w:t>0.7336</w:t>
            </w:r>
          </w:p>
        </w:tc>
        <w:tc>
          <w:tcPr>
            <w:tcW w:type="dxa" w:w="1200"/>
            <w:vAlign w:val="center"/>
            <w:tcMar>
              <w:top w:w="80" w:type="dxa"/>
              <w:start w:w="120" w:type="dxa"/>
              <w:bottom w:w="80" w:type="dxa"/>
              <w:end w:w="120" w:type="dxa"/>
            </w:tcMar>
          </w:tcPr>
          <w:p>
            <w:pPr>
              <w:spacing w:after="0" w:line="240" w:lineRule="auto"/>
            </w:pPr>
            <w:r>
              <w:rPr>
                <w:sz w:val="18"/>
              </w:rPr>
              <w:t>0.6633</w:t>
            </w:r>
          </w:p>
        </w:tc>
        <w:tc>
          <w:tcPr>
            <w:tcW w:type="dxa" w:w="1200"/>
            <w:vAlign w:val="center"/>
            <w:tcMar>
              <w:top w:w="80" w:type="dxa"/>
              <w:start w:w="120" w:type="dxa"/>
              <w:bottom w:w="80" w:type="dxa"/>
              <w:end w:w="120" w:type="dxa"/>
            </w:tcMar>
          </w:tcPr>
          <w:p>
            <w:pPr>
              <w:spacing w:after="0" w:line="240" w:lineRule="auto"/>
            </w:pPr>
            <w:r>
              <w:rPr>
                <w:sz w:val="18"/>
              </w:rPr>
              <w:t>0.6541</w:t>
            </w:r>
          </w:p>
        </w:tc>
      </w:tr>
      <w:tr>
        <w:tc>
          <w:tcPr>
            <w:tcW w:type="dxa" w:w="2160"/>
            <w:vAlign w:val="center"/>
            <w:tcMar>
              <w:top w:w="80" w:type="dxa"/>
              <w:start w:w="120" w:type="dxa"/>
              <w:bottom w:w="80" w:type="dxa"/>
              <w:end w:w="120" w:type="dxa"/>
            </w:tcMar>
          </w:tcPr>
          <w:p>
            <w:pPr>
              <w:spacing w:after="0" w:line="240" w:lineRule="auto"/>
            </w:pPr>
            <w:r>
              <w:rPr>
                <w:sz w:val="18"/>
              </w:rPr>
              <w:t>Hist Gradient Boosting</w:t>
            </w:r>
          </w:p>
        </w:tc>
        <w:tc>
          <w:tcPr>
            <w:tcW w:type="dxa" w:w="1200"/>
            <w:vAlign w:val="center"/>
            <w:tcMar>
              <w:top w:w="80" w:type="dxa"/>
              <w:start w:w="120" w:type="dxa"/>
              <w:bottom w:w="80" w:type="dxa"/>
              <w:end w:w="120" w:type="dxa"/>
            </w:tcMar>
          </w:tcPr>
          <w:p>
            <w:pPr>
              <w:spacing w:after="0" w:line="240" w:lineRule="auto"/>
            </w:pPr>
            <w:r>
              <w:rPr>
                <w:sz w:val="18"/>
              </w:rPr>
              <w:t>0.7980</w:t>
            </w:r>
          </w:p>
        </w:tc>
        <w:tc>
          <w:tcPr>
            <w:tcW w:type="dxa" w:w="1200"/>
            <w:vAlign w:val="center"/>
            <w:tcMar>
              <w:top w:w="80" w:type="dxa"/>
              <w:start w:w="120" w:type="dxa"/>
              <w:bottom w:w="80" w:type="dxa"/>
              <w:end w:w="120" w:type="dxa"/>
            </w:tcMar>
          </w:tcPr>
          <w:p>
            <w:pPr>
              <w:spacing w:after="0" w:line="240" w:lineRule="auto"/>
            </w:pPr>
            <w:r>
              <w:rPr>
                <w:sz w:val="18"/>
              </w:rPr>
              <w:t>0.7959</w:t>
            </w:r>
          </w:p>
        </w:tc>
        <w:tc>
          <w:tcPr>
            <w:tcW w:type="dxa" w:w="1200"/>
            <w:vAlign w:val="center"/>
            <w:tcMar>
              <w:top w:w="80" w:type="dxa"/>
              <w:start w:w="120" w:type="dxa"/>
              <w:bottom w:w="80" w:type="dxa"/>
              <w:end w:w="120" w:type="dxa"/>
            </w:tcMar>
          </w:tcPr>
          <w:p>
            <w:pPr>
              <w:spacing w:after="0" w:line="240" w:lineRule="auto"/>
            </w:pPr>
            <w:r>
              <w:rPr>
                <w:sz w:val="18"/>
              </w:rPr>
              <w:t>0.5955</w:t>
            </w:r>
          </w:p>
        </w:tc>
        <w:tc>
          <w:tcPr>
            <w:tcW w:type="dxa" w:w="1200"/>
            <w:vAlign w:val="center"/>
            <w:tcMar>
              <w:top w:w="80" w:type="dxa"/>
              <w:start w:w="120" w:type="dxa"/>
              <w:bottom w:w="80" w:type="dxa"/>
              <w:end w:w="120" w:type="dxa"/>
            </w:tcMar>
          </w:tcPr>
          <w:p>
            <w:pPr>
              <w:spacing w:after="0" w:line="240" w:lineRule="auto"/>
            </w:pPr>
            <w:r>
              <w:rPr>
                <w:sz w:val="18"/>
              </w:rPr>
              <w:t>0.7303</w:t>
            </w:r>
          </w:p>
        </w:tc>
        <w:tc>
          <w:tcPr>
            <w:tcW w:type="dxa" w:w="1200"/>
            <w:vAlign w:val="center"/>
            <w:tcMar>
              <w:top w:w="80" w:type="dxa"/>
              <w:start w:w="120" w:type="dxa"/>
              <w:bottom w:w="80" w:type="dxa"/>
              <w:end w:w="120" w:type="dxa"/>
            </w:tcMar>
          </w:tcPr>
          <w:p>
            <w:pPr>
              <w:spacing w:after="0" w:line="240" w:lineRule="auto"/>
            </w:pPr>
            <w:r>
              <w:rPr>
                <w:sz w:val="18"/>
              </w:rPr>
              <w:t>0.6560</w:t>
            </w:r>
          </w:p>
        </w:tc>
        <w:tc>
          <w:tcPr>
            <w:tcW w:type="dxa" w:w="1200"/>
            <w:vAlign w:val="center"/>
            <w:tcMar>
              <w:top w:w="80" w:type="dxa"/>
              <w:start w:w="120" w:type="dxa"/>
              <w:bottom w:w="80" w:type="dxa"/>
              <w:end w:w="120" w:type="dxa"/>
            </w:tcMar>
          </w:tcPr>
          <w:p>
            <w:pPr>
              <w:spacing w:after="0" w:line="240" w:lineRule="auto"/>
            </w:pPr>
            <w:r>
              <w:rPr>
                <w:sz w:val="18"/>
              </w:rPr>
              <w:t>0.6301</w:t>
            </w:r>
          </w:p>
        </w:tc>
      </w:tr>
    </w:tbl>
    <w:p>
      <w:pPr>
        <w:spacing w:after="0"/>
      </w:pPr>
    </w:p>
    <w:p>
      <w:pPr>
        <w:pStyle w:val="Caption"/>
        <w:jc w:val="center"/>
      </w:pPr>
      <w:r>
        <w:t>Table 2. Training-CV selection evidence and final development-set metrics for all four model families.</w:t>
      </w:r>
    </w:p>
    <w:p>
      <w:pPr>
        <w:jc w:val="center"/>
      </w:pPr>
      <w:r>
        <w:drawing>
          <wp:inline xmlns:a="http://schemas.openxmlformats.org/drawingml/2006/main" xmlns:pic="http://schemas.openxmlformats.org/drawingml/2006/picture">
            <wp:extent cx="5715000" cy="3143250"/>
            <wp:docPr id="4" name="Picture 4"/>
            <wp:cNvGraphicFramePr>
              <a:graphicFrameLocks noChangeAspect="1"/>
            </wp:cNvGraphicFramePr>
            <a:graphic>
              <a:graphicData uri="http://schemas.openxmlformats.org/drawingml/2006/picture">
                <pic:pic>
                  <pic:nvPicPr>
                    <pic:cNvPr id="0" name="tuned_model_comparison.png"/>
                    <pic:cNvPicPr/>
                  </pic:nvPicPr>
                  <pic:blipFill>
                    <a:blip r:embed="rId14"/>
                    <a:stretch>
                      <a:fillRect/>
                    </a:stretch>
                  </pic:blipFill>
                  <pic:spPr>
                    <a:xfrm>
                      <a:off x="0" y="0"/>
                      <a:ext cx="5715000" cy="3143250"/>
                    </a:xfrm>
                    <a:prstGeom prst="rect"/>
                  </pic:spPr>
                </pic:pic>
              </a:graphicData>
            </a:graphic>
          </wp:inline>
        </w:drawing>
      </w:r>
    </w:p>
    <w:p>
      <w:pPr>
        <w:pStyle w:val="Caption"/>
        <w:jc w:val="center"/>
      </w:pPr>
      <w:r>
        <w:t>Figure 4. Comparative performance across model families.</w:t>
      </w:r>
    </w:p>
    <w:p>
      <w:pPr>
        <w:pStyle w:val="Heading2"/>
      </w:pPr>
      <w:r>
        <w:t>3.2 Final Random Forest evaluation</w:t>
      </w:r>
    </w:p>
    <w:tbl>
      <w:tblPr>
        <w:tblStyle w:val="TableGrid"/>
        <w:tblW w:type="dxa" w:w="9360"/>
        <w:jc w:val="left"/>
        <w:tblLayout w:type="fixed"/>
        <w:tblLook w:firstColumn="1" w:firstRow="1" w:lastColumn="0" w:lastRow="0" w:noHBand="0" w:noVBand="1" w:val="04A0"/>
        <w:tblInd w:w="120" w:type="dxa"/>
      </w:tblPr>
      <w:tblGrid>
        <w:gridCol w:w="2700"/>
        <w:gridCol w:w="2700"/>
        <w:gridCol w:w="3960"/>
      </w:tblGrid>
      <w:tr>
        <w:trPr>
          <w:tblHeader/>
        </w:trPr>
        <w:tc>
          <w:tcPr>
            <w:tcW w:type="dxa" w:w="2700"/>
            <w:shd w:fill="E8EEF5"/>
            <w:vAlign w:val="center"/>
            <w:tcMar>
              <w:top w:w="80" w:type="dxa"/>
              <w:start w:w="120" w:type="dxa"/>
              <w:bottom w:w="80" w:type="dxa"/>
              <w:end w:w="120" w:type="dxa"/>
            </w:tcMar>
          </w:tcPr>
          <w:p>
            <w:r>
              <w:rPr>
                <w:b/>
                <w:color w:val="203748"/>
                <w:sz w:val="18"/>
              </w:rPr>
              <w:t>Metric</w:t>
            </w:r>
          </w:p>
        </w:tc>
        <w:tc>
          <w:tcPr>
            <w:tcW w:type="dxa" w:w="2700"/>
            <w:shd w:fill="E8EEF5"/>
            <w:vAlign w:val="center"/>
            <w:tcMar>
              <w:top w:w="80" w:type="dxa"/>
              <w:start w:w="120" w:type="dxa"/>
              <w:bottom w:w="80" w:type="dxa"/>
              <w:end w:w="120" w:type="dxa"/>
            </w:tcMar>
          </w:tcPr>
          <w:p>
            <w:r>
              <w:rPr>
                <w:b/>
                <w:color w:val="203748"/>
                <w:sz w:val="18"/>
              </w:rPr>
              <w:t>Development result</w:t>
            </w:r>
          </w:p>
        </w:tc>
        <w:tc>
          <w:tcPr>
            <w:tcW w:type="dxa" w:w="3960"/>
            <w:shd w:fill="E8EEF5"/>
            <w:vAlign w:val="center"/>
            <w:tcMar>
              <w:top w:w="80" w:type="dxa"/>
              <w:start w:w="120" w:type="dxa"/>
              <w:bottom w:w="80" w:type="dxa"/>
              <w:end w:w="120" w:type="dxa"/>
            </w:tcMar>
          </w:tcPr>
          <w:p>
            <w:r>
              <w:rPr>
                <w:b/>
                <w:color w:val="203748"/>
                <w:sz w:val="18"/>
              </w:rPr>
              <w:t>Bootstrap 95% CI</w:t>
            </w:r>
          </w:p>
        </w:tc>
      </w:tr>
      <w:tr>
        <w:tc>
          <w:tcPr>
            <w:tcW w:type="dxa" w:w="2700"/>
            <w:vAlign w:val="center"/>
            <w:tcMar>
              <w:top w:w="80" w:type="dxa"/>
              <w:start w:w="120" w:type="dxa"/>
              <w:bottom w:w="80" w:type="dxa"/>
              <w:end w:w="120" w:type="dxa"/>
            </w:tcMar>
          </w:tcPr>
          <w:p>
            <w:pPr>
              <w:spacing w:after="0" w:line="240" w:lineRule="auto"/>
            </w:pPr>
            <w:r>
              <w:rPr>
                <w:sz w:val="18"/>
              </w:rPr>
              <w:t>AUROC</w:t>
            </w:r>
          </w:p>
        </w:tc>
        <w:tc>
          <w:tcPr>
            <w:tcW w:type="dxa" w:w="2700"/>
            <w:vAlign w:val="center"/>
            <w:tcMar>
              <w:top w:w="80" w:type="dxa"/>
              <w:start w:w="120" w:type="dxa"/>
              <w:bottom w:w="80" w:type="dxa"/>
              <w:end w:w="120" w:type="dxa"/>
            </w:tcMar>
          </w:tcPr>
          <w:p>
            <w:pPr>
              <w:spacing w:after="0" w:line="240" w:lineRule="auto"/>
            </w:pPr>
            <w:r>
              <w:rPr>
                <w:sz w:val="18"/>
              </w:rPr>
              <w:t>0.8024</w:t>
            </w:r>
          </w:p>
        </w:tc>
        <w:tc>
          <w:tcPr>
            <w:tcW w:type="dxa" w:w="3960"/>
            <w:vAlign w:val="center"/>
            <w:tcMar>
              <w:top w:w="80" w:type="dxa"/>
              <w:start w:w="120" w:type="dxa"/>
              <w:bottom w:w="80" w:type="dxa"/>
              <w:end w:w="120" w:type="dxa"/>
            </w:tcMar>
          </w:tcPr>
          <w:p>
            <w:pPr>
              <w:spacing w:after="0" w:line="240" w:lineRule="auto"/>
            </w:pPr>
            <w:r>
              <w:rPr>
                <w:sz w:val="18"/>
              </w:rPr>
              <w:t>0.7860-0.8196</w:t>
            </w:r>
          </w:p>
        </w:tc>
      </w:tr>
      <w:tr>
        <w:tc>
          <w:tcPr>
            <w:tcW w:type="dxa" w:w="2700"/>
            <w:vAlign w:val="center"/>
            <w:tcMar>
              <w:top w:w="80" w:type="dxa"/>
              <w:start w:w="120" w:type="dxa"/>
              <w:bottom w:w="80" w:type="dxa"/>
              <w:end w:w="120" w:type="dxa"/>
            </w:tcMar>
          </w:tcPr>
          <w:p>
            <w:pPr>
              <w:spacing w:after="0" w:line="240" w:lineRule="auto"/>
            </w:pPr>
            <w:r>
              <w:rPr>
                <w:sz w:val="18"/>
              </w:rPr>
              <w:t>AUPRC</w:t>
            </w:r>
          </w:p>
        </w:tc>
        <w:tc>
          <w:tcPr>
            <w:tcW w:type="dxa" w:w="2700"/>
            <w:vAlign w:val="center"/>
            <w:tcMar>
              <w:top w:w="80" w:type="dxa"/>
              <w:start w:w="120" w:type="dxa"/>
              <w:bottom w:w="80" w:type="dxa"/>
              <w:end w:w="120" w:type="dxa"/>
            </w:tcMar>
          </w:tcPr>
          <w:p>
            <w:pPr>
              <w:spacing w:after="0" w:line="240" w:lineRule="auto"/>
            </w:pPr>
            <w:r>
              <w:rPr>
                <w:sz w:val="18"/>
              </w:rPr>
              <w:t>0.6359</w:t>
            </w:r>
          </w:p>
        </w:tc>
        <w:tc>
          <w:tcPr>
            <w:tcW w:type="dxa" w:w="3960"/>
            <w:vAlign w:val="center"/>
            <w:tcMar>
              <w:top w:w="80" w:type="dxa"/>
              <w:start w:w="120" w:type="dxa"/>
              <w:bottom w:w="80" w:type="dxa"/>
              <w:end w:w="120" w:type="dxa"/>
            </w:tcMar>
          </w:tcPr>
          <w:p>
            <w:pPr>
              <w:spacing w:after="0" w:line="240" w:lineRule="auto"/>
            </w:pPr>
            <w:r>
              <w:rPr>
                <w:sz w:val="18"/>
              </w:rPr>
              <w:t>0.6022-0.6693</w:t>
            </w:r>
          </w:p>
        </w:tc>
      </w:tr>
      <w:tr>
        <w:tc>
          <w:tcPr>
            <w:tcW w:type="dxa" w:w="2700"/>
            <w:vAlign w:val="center"/>
            <w:tcMar>
              <w:top w:w="80" w:type="dxa"/>
              <w:start w:w="120" w:type="dxa"/>
              <w:bottom w:w="80" w:type="dxa"/>
              <w:end w:w="120" w:type="dxa"/>
            </w:tcMar>
          </w:tcPr>
          <w:p>
            <w:pPr>
              <w:spacing w:after="0" w:line="240" w:lineRule="auto"/>
            </w:pPr>
            <w:r>
              <w:rPr>
                <w:sz w:val="18"/>
              </w:rPr>
              <w:t>Precision</w:t>
            </w:r>
          </w:p>
        </w:tc>
        <w:tc>
          <w:tcPr>
            <w:tcW w:type="dxa" w:w="2700"/>
            <w:vAlign w:val="center"/>
            <w:tcMar>
              <w:top w:w="80" w:type="dxa"/>
              <w:start w:w="120" w:type="dxa"/>
              <w:bottom w:w="80" w:type="dxa"/>
              <w:end w:w="120" w:type="dxa"/>
            </w:tcMar>
          </w:tcPr>
          <w:p>
            <w:pPr>
              <w:spacing w:after="0" w:line="240" w:lineRule="auto"/>
            </w:pPr>
            <w:r>
              <w:rPr>
                <w:sz w:val="18"/>
              </w:rPr>
              <w:t>0.5789</w:t>
            </w:r>
          </w:p>
        </w:tc>
        <w:tc>
          <w:tcPr>
            <w:tcW w:type="dxa" w:w="3960"/>
            <w:vAlign w:val="center"/>
            <w:tcMar>
              <w:top w:w="80" w:type="dxa"/>
              <w:start w:w="120" w:type="dxa"/>
              <w:bottom w:w="80" w:type="dxa"/>
              <w:end w:w="120" w:type="dxa"/>
            </w:tcMar>
          </w:tcPr>
          <w:p>
            <w:pPr>
              <w:spacing w:after="0" w:line="240" w:lineRule="auto"/>
            </w:pPr>
            <w:r>
              <w:rPr>
                <w:sz w:val="18"/>
              </w:rPr>
              <w:t>0.5523-0.6056</w:t>
            </w:r>
          </w:p>
        </w:tc>
      </w:tr>
      <w:tr>
        <w:tc>
          <w:tcPr>
            <w:tcW w:type="dxa" w:w="2700"/>
            <w:vAlign w:val="center"/>
            <w:tcMar>
              <w:top w:w="80" w:type="dxa"/>
              <w:start w:w="120" w:type="dxa"/>
              <w:bottom w:w="80" w:type="dxa"/>
              <w:end w:w="120" w:type="dxa"/>
            </w:tcMar>
          </w:tcPr>
          <w:p>
            <w:pPr>
              <w:spacing w:after="0" w:line="240" w:lineRule="auto"/>
            </w:pPr>
            <w:r>
              <w:rPr>
                <w:sz w:val="18"/>
              </w:rPr>
              <w:t>Recall</w:t>
            </w:r>
          </w:p>
        </w:tc>
        <w:tc>
          <w:tcPr>
            <w:tcW w:type="dxa" w:w="2700"/>
            <w:vAlign w:val="center"/>
            <w:tcMar>
              <w:top w:w="80" w:type="dxa"/>
              <w:start w:w="120" w:type="dxa"/>
              <w:bottom w:w="80" w:type="dxa"/>
              <w:end w:w="120" w:type="dxa"/>
            </w:tcMar>
          </w:tcPr>
          <w:p>
            <w:pPr>
              <w:spacing w:after="0" w:line="240" w:lineRule="auto"/>
            </w:pPr>
            <w:r>
              <w:rPr>
                <w:sz w:val="18"/>
              </w:rPr>
              <w:t>0.7814</w:t>
            </w:r>
          </w:p>
        </w:tc>
        <w:tc>
          <w:tcPr>
            <w:tcW w:type="dxa" w:w="3960"/>
            <w:vAlign w:val="center"/>
            <w:tcMar>
              <w:top w:w="80" w:type="dxa"/>
              <w:start w:w="120" w:type="dxa"/>
              <w:bottom w:w="80" w:type="dxa"/>
              <w:end w:w="120" w:type="dxa"/>
            </w:tcMar>
          </w:tcPr>
          <w:p>
            <w:pPr>
              <w:spacing w:after="0" w:line="240" w:lineRule="auto"/>
            </w:pPr>
            <w:r>
              <w:rPr>
                <w:sz w:val="18"/>
              </w:rPr>
              <w:t>0.7536-0.8066</w:t>
            </w:r>
          </w:p>
        </w:tc>
      </w:tr>
      <w:tr>
        <w:tc>
          <w:tcPr>
            <w:tcW w:type="dxa" w:w="2700"/>
            <w:vAlign w:val="center"/>
            <w:tcMar>
              <w:top w:w="80" w:type="dxa"/>
              <w:start w:w="120" w:type="dxa"/>
              <w:bottom w:w="80" w:type="dxa"/>
              <w:end w:w="120" w:type="dxa"/>
            </w:tcMar>
          </w:tcPr>
          <w:p>
            <w:pPr>
              <w:spacing w:after="0" w:line="240" w:lineRule="auto"/>
            </w:pPr>
            <w:r>
              <w:rPr>
                <w:sz w:val="18"/>
              </w:rPr>
              <w:t>F1-score</w:t>
            </w:r>
          </w:p>
        </w:tc>
        <w:tc>
          <w:tcPr>
            <w:tcW w:type="dxa" w:w="2700"/>
            <w:vAlign w:val="center"/>
            <w:tcMar>
              <w:top w:w="80" w:type="dxa"/>
              <w:start w:w="120" w:type="dxa"/>
              <w:bottom w:w="80" w:type="dxa"/>
              <w:end w:w="120" w:type="dxa"/>
            </w:tcMar>
          </w:tcPr>
          <w:p>
            <w:pPr>
              <w:spacing w:after="0" w:line="240" w:lineRule="auto"/>
            </w:pPr>
            <w:r>
              <w:rPr>
                <w:sz w:val="18"/>
              </w:rPr>
              <w:t>0.6651</w:t>
            </w:r>
          </w:p>
        </w:tc>
        <w:tc>
          <w:tcPr>
            <w:tcW w:type="dxa" w:w="3960"/>
            <w:vAlign w:val="center"/>
            <w:tcMar>
              <w:top w:w="80" w:type="dxa"/>
              <w:start w:w="120" w:type="dxa"/>
              <w:bottom w:w="80" w:type="dxa"/>
              <w:end w:w="120" w:type="dxa"/>
            </w:tcMar>
          </w:tcPr>
          <w:p>
            <w:pPr>
              <w:spacing w:after="0" w:line="240" w:lineRule="auto"/>
            </w:pPr>
            <w:r>
              <w:rPr>
                <w:sz w:val="18"/>
              </w:rPr>
              <w:t>0.6422-0.6868</w:t>
            </w:r>
          </w:p>
        </w:tc>
      </w:tr>
      <w:tr>
        <w:tc>
          <w:tcPr>
            <w:tcW w:type="dxa" w:w="2700"/>
            <w:vAlign w:val="center"/>
            <w:tcMar>
              <w:top w:w="80" w:type="dxa"/>
              <w:start w:w="120" w:type="dxa"/>
              <w:bottom w:w="80" w:type="dxa"/>
              <w:end w:w="120" w:type="dxa"/>
            </w:tcMar>
          </w:tcPr>
          <w:p>
            <w:pPr>
              <w:spacing w:after="0" w:line="240" w:lineRule="auto"/>
            </w:pPr>
            <w:r>
              <w:rPr>
                <w:sz w:val="18"/>
              </w:rPr>
              <w:t>Accuracy</w:t>
            </w:r>
          </w:p>
        </w:tc>
        <w:tc>
          <w:tcPr>
            <w:tcW w:type="dxa" w:w="2700"/>
            <w:vAlign w:val="center"/>
            <w:tcMar>
              <w:top w:w="80" w:type="dxa"/>
              <w:start w:w="120" w:type="dxa"/>
              <w:bottom w:w="80" w:type="dxa"/>
              <w:end w:w="120" w:type="dxa"/>
            </w:tcMar>
          </w:tcPr>
          <w:p>
            <w:pPr>
              <w:spacing w:after="0" w:line="240" w:lineRule="auto"/>
            </w:pPr>
            <w:r>
              <w:rPr>
                <w:sz w:val="18"/>
              </w:rPr>
              <w:t>0.7333</w:t>
            </w:r>
          </w:p>
        </w:tc>
        <w:tc>
          <w:tcPr>
            <w:tcW w:type="dxa" w:w="3960"/>
            <w:vAlign w:val="center"/>
            <w:tcMar>
              <w:top w:w="80" w:type="dxa"/>
              <w:start w:w="120" w:type="dxa"/>
              <w:bottom w:w="80" w:type="dxa"/>
              <w:end w:w="120" w:type="dxa"/>
            </w:tcMar>
          </w:tcPr>
          <w:p>
            <w:pPr>
              <w:spacing w:after="0" w:line="240" w:lineRule="auto"/>
            </w:pPr>
            <w:r>
              <w:rPr>
                <w:sz w:val="18"/>
              </w:rPr>
              <w:t>0.7163-0.7498</w:t>
            </w:r>
          </w:p>
        </w:tc>
      </w:tr>
    </w:tbl>
    <w:p>
      <w:pPr>
        <w:spacing w:after="0"/>
      </w:pPr>
    </w:p>
    <w:p>
      <w:pPr>
        <w:pStyle w:val="Caption"/>
        <w:jc w:val="center"/>
      </w:pPr>
      <w:r>
        <w:t>Table 3. Final holdout performance using the training-only threshold of 0.320.</w:t>
      </w:r>
    </w:p>
    <w:p>
      <w:r>
        <w:t>The model identified 704 of 901 churned development players, producing recall of 0.7814. Its precision of 0.5789 reflects 512 retained users flagged as at risk. The AUROC confidence interval (0.7860-0.8196) and similar training-CV performance indicate limited split-specific degradation, although external validation is still needed.</w:t>
      </w:r>
    </w:p>
    <w:p>
      <w:pPr>
        <w:jc w:val="center"/>
      </w:pPr>
      <w:r>
        <w:drawing>
          <wp:inline xmlns:a="http://schemas.openxmlformats.org/drawingml/2006/main" xmlns:pic="http://schemas.openxmlformats.org/drawingml/2006/picture">
            <wp:extent cx="4480560" cy="336042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480560" cy="3360420"/>
                    </a:xfrm>
                    <a:prstGeom prst="rect"/>
                  </pic:spPr>
                </pic:pic>
              </a:graphicData>
            </a:graphic>
          </wp:inline>
        </w:drawing>
      </w:r>
    </w:p>
    <w:p>
      <w:pPr>
        <w:pStyle w:val="Caption"/>
        <w:jc w:val="center"/>
      </w:pPr>
      <w:r>
        <w:t>Figure 5. Development-set confusion matrix at the 0.320 decision threshold.</w:t>
      </w:r>
    </w:p>
    <w:p>
      <w:pPr>
        <w:jc w:val="center"/>
      </w:pPr>
      <w:r>
        <w:drawing>
          <wp:inline xmlns:a="http://schemas.openxmlformats.org/drawingml/2006/main" xmlns:pic="http://schemas.openxmlformats.org/drawingml/2006/picture">
            <wp:extent cx="4937760" cy="3703320"/>
            <wp:docPr id="6" name="Picture 6"/>
            <wp:cNvGraphicFramePr>
              <a:graphicFrameLocks noChangeAspect="1"/>
            </wp:cNvGraphicFramePr>
            <a:graphic>
              <a:graphicData uri="http://schemas.openxmlformats.org/drawingml/2006/picture">
                <pic:pic>
                  <pic:nvPicPr>
                    <pic:cNvPr id="0" name="precision_recall_curve.png"/>
                    <pic:cNvPicPr/>
                  </pic:nvPicPr>
                  <pic:blipFill>
                    <a:blip r:embed="rId16"/>
                    <a:stretch>
                      <a:fillRect/>
                    </a:stretch>
                  </pic:blipFill>
                  <pic:spPr>
                    <a:xfrm>
                      <a:off x="0" y="0"/>
                      <a:ext cx="4937760" cy="3703320"/>
                    </a:xfrm>
                    <a:prstGeom prst="rect"/>
                  </pic:spPr>
                </pic:pic>
              </a:graphicData>
            </a:graphic>
          </wp:inline>
        </w:drawing>
      </w:r>
    </w:p>
    <w:p>
      <w:pPr>
        <w:pStyle w:val="Caption"/>
        <w:jc w:val="center"/>
      </w:pPr>
      <w:r>
        <w:t>Figure 6. Precision-recall curve on the untouched development set.</w:t>
      </w:r>
    </w:p>
    <w:p>
      <w:pPr>
        <w:jc w:val="center"/>
      </w:pPr>
      <w:r>
        <w:drawing>
          <wp:inline xmlns:a="http://schemas.openxmlformats.org/drawingml/2006/main" xmlns:pic="http://schemas.openxmlformats.org/drawingml/2006/picture">
            <wp:extent cx="4937760" cy="3703320"/>
            <wp:docPr id="7" name="Picture 7"/>
            <wp:cNvGraphicFramePr>
              <a:graphicFrameLocks noChangeAspect="1"/>
            </wp:cNvGraphicFramePr>
            <a:graphic>
              <a:graphicData uri="http://schemas.openxmlformats.org/drawingml/2006/picture">
                <pic:pic>
                  <pic:nvPicPr>
                    <pic:cNvPr id="0" name="roc_curve.png"/>
                    <pic:cNvPicPr/>
                  </pic:nvPicPr>
                  <pic:blipFill>
                    <a:blip r:embed="rId17"/>
                    <a:stretch>
                      <a:fillRect/>
                    </a:stretch>
                  </pic:blipFill>
                  <pic:spPr>
                    <a:xfrm>
                      <a:off x="0" y="0"/>
                      <a:ext cx="4937760" cy="3703320"/>
                    </a:xfrm>
                    <a:prstGeom prst="rect"/>
                  </pic:spPr>
                </pic:pic>
              </a:graphicData>
            </a:graphic>
          </wp:inline>
        </w:drawing>
      </w:r>
    </w:p>
    <w:p>
      <w:pPr>
        <w:pStyle w:val="Caption"/>
        <w:jc w:val="center"/>
      </w:pPr>
      <w:r>
        <w:t>Figure 7. ROC curve on the untouched development set.</w:t>
      </w:r>
    </w:p>
    <w:p>
      <w:pPr>
        <w:pStyle w:val="Heading2"/>
      </w:pPr>
      <w:r>
        <w:t>3.3 Explainability and behavioral findings</w:t>
      </w:r>
    </w:p>
    <w:p>
      <w:r>
        <w:t>SHAP analysis ranked inactivity recency as the strongest model signal, followed by weekend concentration, observation span, active days, total duration, and session count. These results describe associations within this fitted model; they do not prove that changing any one behavior will cause retention.</w:t>
      </w:r>
    </w:p>
    <w:tbl>
      <w:tblPr>
        <w:tblStyle w:val="TableGrid"/>
        <w:tblW w:type="dxa" w:w="9360"/>
        <w:jc w:val="left"/>
        <w:tblLayout w:type="fixed"/>
        <w:tblLook w:firstColumn="1" w:firstRow="1" w:lastColumn="0" w:lastRow="0" w:noHBand="0" w:noVBand="1" w:val="04A0"/>
        <w:tblInd w:w="120" w:type="dxa"/>
      </w:tblPr>
      <w:tblGrid>
        <w:gridCol w:w="6660"/>
        <w:gridCol w:w="2700"/>
      </w:tblGrid>
      <w:tr>
        <w:trPr>
          <w:tblHeader/>
        </w:trPr>
        <w:tc>
          <w:tcPr>
            <w:tcW w:type="dxa" w:w="6660"/>
            <w:shd w:fill="E8EEF5"/>
            <w:vAlign w:val="center"/>
            <w:tcMar>
              <w:top w:w="80" w:type="dxa"/>
              <w:start w:w="120" w:type="dxa"/>
              <w:bottom w:w="80" w:type="dxa"/>
              <w:end w:w="120" w:type="dxa"/>
            </w:tcMar>
          </w:tcPr>
          <w:p>
            <w:r>
              <w:rPr>
                <w:b/>
                <w:color w:val="203748"/>
                <w:sz w:val="18"/>
              </w:rPr>
              <w:t>Predictor</w:t>
            </w:r>
          </w:p>
        </w:tc>
        <w:tc>
          <w:tcPr>
            <w:tcW w:type="dxa" w:w="2700"/>
            <w:shd w:fill="E8EEF5"/>
            <w:vAlign w:val="center"/>
            <w:tcMar>
              <w:top w:w="80" w:type="dxa"/>
              <w:start w:w="120" w:type="dxa"/>
              <w:bottom w:w="80" w:type="dxa"/>
              <w:end w:w="120" w:type="dxa"/>
            </w:tcMar>
          </w:tcPr>
          <w:p>
            <w:r>
              <w:rPr>
                <w:b/>
                <w:color w:val="203748"/>
                <w:sz w:val="18"/>
              </w:rPr>
              <w:t>Mean absolute SHAP</w:t>
            </w:r>
          </w:p>
        </w:tc>
      </w:tr>
      <w:tr>
        <w:tc>
          <w:tcPr>
            <w:tcW w:type="dxa" w:w="6660"/>
            <w:vAlign w:val="center"/>
            <w:tcMar>
              <w:top w:w="80" w:type="dxa"/>
              <w:start w:w="120" w:type="dxa"/>
              <w:bottom w:w="80" w:type="dxa"/>
              <w:end w:w="120" w:type="dxa"/>
            </w:tcMar>
          </w:tcPr>
          <w:p>
            <w:pPr>
              <w:spacing w:after="0" w:line="240" w:lineRule="auto"/>
            </w:pPr>
            <w:r>
              <w:rPr>
                <w:sz w:val="18"/>
              </w:rPr>
              <w:t>Hours Since Last Activity</w:t>
            </w:r>
          </w:p>
        </w:tc>
        <w:tc>
          <w:tcPr>
            <w:tcW w:type="dxa" w:w="2700"/>
            <w:vAlign w:val="center"/>
            <w:tcMar>
              <w:top w:w="80" w:type="dxa"/>
              <w:start w:w="120" w:type="dxa"/>
              <w:bottom w:w="80" w:type="dxa"/>
              <w:end w:w="120" w:type="dxa"/>
            </w:tcMar>
          </w:tcPr>
          <w:p>
            <w:pPr>
              <w:spacing w:after="0" w:line="240" w:lineRule="auto"/>
            </w:pPr>
            <w:r>
              <w:rPr>
                <w:sz w:val="18"/>
              </w:rPr>
              <w:t>0.0514</w:t>
            </w:r>
          </w:p>
        </w:tc>
      </w:tr>
      <w:tr>
        <w:tc>
          <w:tcPr>
            <w:tcW w:type="dxa" w:w="6660"/>
            <w:vAlign w:val="center"/>
            <w:tcMar>
              <w:top w:w="80" w:type="dxa"/>
              <w:start w:w="120" w:type="dxa"/>
              <w:bottom w:w="80" w:type="dxa"/>
              <w:end w:w="120" w:type="dxa"/>
            </w:tcMar>
          </w:tcPr>
          <w:p>
            <w:pPr>
              <w:spacing w:after="0" w:line="240" w:lineRule="auto"/>
            </w:pPr>
            <w:r>
              <w:rPr>
                <w:sz w:val="18"/>
              </w:rPr>
              <w:t>Weekend Attempt Rate</w:t>
            </w:r>
          </w:p>
        </w:tc>
        <w:tc>
          <w:tcPr>
            <w:tcW w:type="dxa" w:w="2700"/>
            <w:vAlign w:val="center"/>
            <w:tcMar>
              <w:top w:w="80" w:type="dxa"/>
              <w:start w:w="120" w:type="dxa"/>
              <w:bottom w:w="80" w:type="dxa"/>
              <w:end w:w="120" w:type="dxa"/>
            </w:tcMar>
          </w:tcPr>
          <w:p>
            <w:pPr>
              <w:spacing w:after="0" w:line="240" w:lineRule="auto"/>
            </w:pPr>
            <w:r>
              <w:rPr>
                <w:sz w:val="18"/>
              </w:rPr>
              <w:t>0.0331</w:t>
            </w:r>
          </w:p>
        </w:tc>
      </w:tr>
      <w:tr>
        <w:tc>
          <w:tcPr>
            <w:tcW w:type="dxa" w:w="6660"/>
            <w:vAlign w:val="center"/>
            <w:tcMar>
              <w:top w:w="80" w:type="dxa"/>
              <w:start w:w="120" w:type="dxa"/>
              <w:bottom w:w="80" w:type="dxa"/>
              <w:end w:w="120" w:type="dxa"/>
            </w:tcMar>
          </w:tcPr>
          <w:p>
            <w:pPr>
              <w:spacing w:after="0" w:line="240" w:lineRule="auto"/>
            </w:pPr>
            <w:r>
              <w:rPr>
                <w:sz w:val="18"/>
              </w:rPr>
              <w:t>Observation Span Hours</w:t>
            </w:r>
          </w:p>
        </w:tc>
        <w:tc>
          <w:tcPr>
            <w:tcW w:type="dxa" w:w="2700"/>
            <w:vAlign w:val="center"/>
            <w:tcMar>
              <w:top w:w="80" w:type="dxa"/>
              <w:start w:w="120" w:type="dxa"/>
              <w:bottom w:w="80" w:type="dxa"/>
              <w:end w:w="120" w:type="dxa"/>
            </w:tcMar>
          </w:tcPr>
          <w:p>
            <w:pPr>
              <w:spacing w:after="0" w:line="240" w:lineRule="auto"/>
            </w:pPr>
            <w:r>
              <w:rPr>
                <w:sz w:val="18"/>
              </w:rPr>
              <w:t>0.0315</w:t>
            </w:r>
          </w:p>
        </w:tc>
      </w:tr>
      <w:tr>
        <w:tc>
          <w:tcPr>
            <w:tcW w:type="dxa" w:w="6660"/>
            <w:vAlign w:val="center"/>
            <w:tcMar>
              <w:top w:w="80" w:type="dxa"/>
              <w:start w:w="120" w:type="dxa"/>
              <w:bottom w:w="80" w:type="dxa"/>
              <w:end w:w="120" w:type="dxa"/>
            </w:tcMar>
          </w:tcPr>
          <w:p>
            <w:pPr>
              <w:spacing w:after="0" w:line="240" w:lineRule="auto"/>
            </w:pPr>
            <w:r>
              <w:rPr>
                <w:sz w:val="18"/>
              </w:rPr>
              <w:t>Active Days</w:t>
            </w:r>
          </w:p>
        </w:tc>
        <w:tc>
          <w:tcPr>
            <w:tcW w:type="dxa" w:w="2700"/>
            <w:vAlign w:val="center"/>
            <w:tcMar>
              <w:top w:w="80" w:type="dxa"/>
              <w:start w:w="120" w:type="dxa"/>
              <w:bottom w:w="80" w:type="dxa"/>
              <w:end w:w="120" w:type="dxa"/>
            </w:tcMar>
          </w:tcPr>
          <w:p>
            <w:pPr>
              <w:spacing w:after="0" w:line="240" w:lineRule="auto"/>
            </w:pPr>
            <w:r>
              <w:rPr>
                <w:sz w:val="18"/>
              </w:rPr>
              <w:t>0.0188</w:t>
            </w:r>
          </w:p>
        </w:tc>
      </w:tr>
      <w:tr>
        <w:tc>
          <w:tcPr>
            <w:tcW w:type="dxa" w:w="6660"/>
            <w:vAlign w:val="center"/>
            <w:tcMar>
              <w:top w:w="80" w:type="dxa"/>
              <w:start w:w="120" w:type="dxa"/>
              <w:bottom w:w="80" w:type="dxa"/>
              <w:end w:w="120" w:type="dxa"/>
            </w:tcMar>
          </w:tcPr>
          <w:p>
            <w:pPr>
              <w:spacing w:after="0" w:line="240" w:lineRule="auto"/>
            </w:pPr>
            <w:r>
              <w:rPr>
                <w:sz w:val="18"/>
              </w:rPr>
              <w:t>Total Duration</w:t>
            </w:r>
          </w:p>
        </w:tc>
        <w:tc>
          <w:tcPr>
            <w:tcW w:type="dxa" w:w="2700"/>
            <w:vAlign w:val="center"/>
            <w:tcMar>
              <w:top w:w="80" w:type="dxa"/>
              <w:start w:w="120" w:type="dxa"/>
              <w:bottom w:w="80" w:type="dxa"/>
              <w:end w:w="120" w:type="dxa"/>
            </w:tcMar>
          </w:tcPr>
          <w:p>
            <w:pPr>
              <w:spacing w:after="0" w:line="240" w:lineRule="auto"/>
            </w:pPr>
            <w:r>
              <w:rPr>
                <w:sz w:val="18"/>
              </w:rPr>
              <w:t>0.0138</w:t>
            </w:r>
          </w:p>
        </w:tc>
      </w:tr>
      <w:tr>
        <w:tc>
          <w:tcPr>
            <w:tcW w:type="dxa" w:w="6660"/>
            <w:vAlign w:val="center"/>
            <w:tcMar>
              <w:top w:w="80" w:type="dxa"/>
              <w:start w:w="120" w:type="dxa"/>
              <w:bottom w:w="80" w:type="dxa"/>
              <w:end w:w="120" w:type="dxa"/>
            </w:tcMar>
          </w:tcPr>
          <w:p>
            <w:pPr>
              <w:spacing w:after="0" w:line="240" w:lineRule="auto"/>
            </w:pPr>
            <w:r>
              <w:rPr>
                <w:sz w:val="18"/>
              </w:rPr>
              <w:t>Session Count</w:t>
            </w:r>
          </w:p>
        </w:tc>
        <w:tc>
          <w:tcPr>
            <w:tcW w:type="dxa" w:w="2700"/>
            <w:vAlign w:val="center"/>
            <w:tcMar>
              <w:top w:w="80" w:type="dxa"/>
              <w:start w:w="120" w:type="dxa"/>
              <w:bottom w:w="80" w:type="dxa"/>
              <w:end w:w="120" w:type="dxa"/>
            </w:tcMar>
          </w:tcPr>
          <w:p>
            <w:pPr>
              <w:spacing w:after="0" w:line="240" w:lineRule="auto"/>
            </w:pPr>
            <w:r>
              <w:rPr>
                <w:sz w:val="18"/>
              </w:rPr>
              <w:t>0.0118</w:t>
            </w:r>
          </w:p>
        </w:tc>
      </w:tr>
      <w:tr>
        <w:tc>
          <w:tcPr>
            <w:tcW w:type="dxa" w:w="6660"/>
            <w:vAlign w:val="center"/>
            <w:tcMar>
              <w:top w:w="80" w:type="dxa"/>
              <w:start w:w="120" w:type="dxa"/>
              <w:bottom w:w="80" w:type="dxa"/>
              <w:end w:w="120" w:type="dxa"/>
            </w:tcMar>
          </w:tcPr>
          <w:p>
            <w:pPr>
              <w:spacing w:after="0" w:line="240" w:lineRule="auto"/>
            </w:pPr>
            <w:r>
              <w:rPr>
                <w:sz w:val="18"/>
              </w:rPr>
              <w:t>Last25 Mean Level</w:t>
            </w:r>
          </w:p>
        </w:tc>
        <w:tc>
          <w:tcPr>
            <w:tcW w:type="dxa" w:w="2700"/>
            <w:vAlign w:val="center"/>
            <w:tcMar>
              <w:top w:w="80" w:type="dxa"/>
              <w:start w:w="120" w:type="dxa"/>
              <w:bottom w:w="80" w:type="dxa"/>
              <w:end w:w="120" w:type="dxa"/>
            </w:tcMar>
          </w:tcPr>
          <w:p>
            <w:pPr>
              <w:spacing w:after="0" w:line="240" w:lineRule="auto"/>
            </w:pPr>
            <w:r>
              <w:rPr>
                <w:sz w:val="18"/>
              </w:rPr>
              <w:t>0.0117</w:t>
            </w:r>
          </w:p>
        </w:tc>
      </w:tr>
      <w:tr>
        <w:tc>
          <w:tcPr>
            <w:tcW w:type="dxa" w:w="6660"/>
            <w:vAlign w:val="center"/>
            <w:tcMar>
              <w:top w:w="80" w:type="dxa"/>
              <w:start w:w="120" w:type="dxa"/>
              <w:bottom w:w="80" w:type="dxa"/>
              <w:end w:w="120" w:type="dxa"/>
            </w:tcMar>
          </w:tcPr>
          <w:p>
            <w:pPr>
              <w:spacing w:after="0" w:line="240" w:lineRule="auto"/>
            </w:pPr>
            <w:r>
              <w:rPr>
                <w:sz w:val="18"/>
              </w:rPr>
              <w:t>Reststep Std</w:t>
            </w:r>
          </w:p>
        </w:tc>
        <w:tc>
          <w:tcPr>
            <w:tcW w:type="dxa" w:w="2700"/>
            <w:vAlign w:val="center"/>
            <w:tcMar>
              <w:top w:w="80" w:type="dxa"/>
              <w:start w:w="120" w:type="dxa"/>
              <w:bottom w:w="80" w:type="dxa"/>
              <w:end w:w="120" w:type="dxa"/>
            </w:tcMar>
          </w:tcPr>
          <w:p>
            <w:pPr>
              <w:spacing w:after="0" w:line="240" w:lineRule="auto"/>
            </w:pPr>
            <w:r>
              <w:rPr>
                <w:sz w:val="18"/>
              </w:rPr>
              <w:t>0.0102</w:t>
            </w:r>
          </w:p>
        </w:tc>
      </w:tr>
      <w:tr>
        <w:tc>
          <w:tcPr>
            <w:tcW w:type="dxa" w:w="6660"/>
            <w:vAlign w:val="center"/>
            <w:tcMar>
              <w:top w:w="80" w:type="dxa"/>
              <w:start w:w="120" w:type="dxa"/>
              <w:bottom w:w="80" w:type="dxa"/>
              <w:end w:w="120" w:type="dxa"/>
            </w:tcMar>
          </w:tcPr>
          <w:p>
            <w:pPr>
              <w:spacing w:after="0" w:line="240" w:lineRule="auto"/>
            </w:pPr>
            <w:r>
              <w:rPr>
                <w:sz w:val="18"/>
              </w:rPr>
              <w:t>Mean Level Retrytimes</w:t>
            </w:r>
          </w:p>
        </w:tc>
        <w:tc>
          <w:tcPr>
            <w:tcW w:type="dxa" w:w="2700"/>
            <w:vAlign w:val="center"/>
            <w:tcMar>
              <w:top w:w="80" w:type="dxa"/>
              <w:start w:w="120" w:type="dxa"/>
              <w:bottom w:w="80" w:type="dxa"/>
              <w:end w:w="120" w:type="dxa"/>
            </w:tcMar>
          </w:tcPr>
          <w:p>
            <w:pPr>
              <w:spacing w:after="0" w:line="240" w:lineRule="auto"/>
            </w:pPr>
            <w:r>
              <w:rPr>
                <w:sz w:val="18"/>
              </w:rPr>
              <w:t>0.0094</w:t>
            </w:r>
          </w:p>
        </w:tc>
      </w:tr>
      <w:tr>
        <w:tc>
          <w:tcPr>
            <w:tcW w:type="dxa" w:w="6660"/>
            <w:vAlign w:val="center"/>
            <w:tcMar>
              <w:top w:w="80" w:type="dxa"/>
              <w:start w:w="120" w:type="dxa"/>
              <w:bottom w:w="80" w:type="dxa"/>
              <w:end w:w="120" w:type="dxa"/>
            </w:tcMar>
          </w:tcPr>
          <w:p>
            <w:pPr>
              <w:spacing w:after="0" w:line="240" w:lineRule="auto"/>
            </w:pPr>
            <w:r>
              <w:rPr>
                <w:sz w:val="18"/>
              </w:rPr>
              <w:t>Mean Level</w:t>
            </w:r>
          </w:p>
        </w:tc>
        <w:tc>
          <w:tcPr>
            <w:tcW w:type="dxa" w:w="2700"/>
            <w:vAlign w:val="center"/>
            <w:tcMar>
              <w:top w:w="80" w:type="dxa"/>
              <w:start w:w="120" w:type="dxa"/>
              <w:bottom w:w="80" w:type="dxa"/>
              <w:end w:w="120" w:type="dxa"/>
            </w:tcMar>
          </w:tcPr>
          <w:p>
            <w:pPr>
              <w:spacing w:after="0" w:line="240" w:lineRule="auto"/>
            </w:pPr>
            <w:r>
              <w:rPr>
                <w:sz w:val="18"/>
              </w:rPr>
              <w:t>0.0092</w:t>
            </w:r>
          </w:p>
        </w:tc>
      </w:tr>
    </w:tbl>
    <w:p>
      <w:pPr>
        <w:spacing w:after="0"/>
      </w:pPr>
    </w:p>
    <w:p>
      <w:pPr>
        <w:pStyle w:val="Caption"/>
        <w:jc w:val="center"/>
      </w:pPr>
      <w:r>
        <w:t>Table 4. Ten most influential features in the selected Random Forest.</w:t>
      </w:r>
    </w:p>
    <w:p>
      <w:pPr>
        <w:jc w:val="center"/>
      </w:pPr>
      <w:r>
        <w:drawing>
          <wp:inline xmlns:a="http://schemas.openxmlformats.org/drawingml/2006/main" xmlns:pic="http://schemas.openxmlformats.org/drawingml/2006/picture">
            <wp:extent cx="5715000" cy="6820088"/>
            <wp:docPr id="8" name="Picture 8"/>
            <wp:cNvGraphicFramePr>
              <a:graphicFrameLocks noChangeAspect="1"/>
            </wp:cNvGraphicFramePr>
            <a:graphic>
              <a:graphicData uri="http://schemas.openxmlformats.org/drawingml/2006/picture">
                <pic:pic>
                  <pic:nvPicPr>
                    <pic:cNvPr id="0" name="shap_beeswarm.png"/>
                    <pic:cNvPicPr/>
                  </pic:nvPicPr>
                  <pic:blipFill>
                    <a:blip r:embed="rId18"/>
                    <a:stretch>
                      <a:fillRect/>
                    </a:stretch>
                  </pic:blipFill>
                  <pic:spPr>
                    <a:xfrm>
                      <a:off x="0" y="0"/>
                      <a:ext cx="5715000" cy="6820088"/>
                    </a:xfrm>
                    <a:prstGeom prst="rect"/>
                  </pic:spPr>
                </pic:pic>
              </a:graphicData>
            </a:graphic>
          </wp:inline>
        </w:drawing>
      </w:r>
    </w:p>
    <w:p>
      <w:pPr>
        <w:pStyle w:val="Caption"/>
        <w:jc w:val="center"/>
      </w:pPr>
      <w:r>
        <w:t>Figure 8. SHAP distribution showing feature direction and magnitude for development players.</w:t>
      </w:r>
    </w:p>
    <w:p>
      <w:r>
        <w:br w:type="page"/>
      </w:r>
    </w:p>
    <w:p>
      <w:pPr>
        <w:pStyle w:val="Heading2"/>
      </w:pPr>
      <w:r>
        <w:t>3.4 Error analysis</w:t>
      </w:r>
    </w:p>
    <w:tbl>
      <w:tblPr>
        <w:tblStyle w:val="TableGrid"/>
        <w:tblW w:type="dxa" w:w="9360"/>
        <w:jc w:val="left"/>
        <w:tblLayout w:type="fixed"/>
        <w:tblLook w:firstColumn="1" w:firstRow="1" w:lastColumn="0" w:lastRow="0" w:noHBand="0" w:noVBand="1" w:val="04A0"/>
        <w:tblInd w:w="120" w:type="dxa"/>
      </w:tblPr>
      <w:tblGrid>
        <w:gridCol w:w="2400"/>
        <w:gridCol w:w="1050"/>
        <w:gridCol w:w="1350"/>
        <w:gridCol w:w="1860"/>
        <w:gridCol w:w="1350"/>
        <w:gridCol w:w="1350"/>
      </w:tblGrid>
      <w:tr>
        <w:trPr>
          <w:tblHeader/>
        </w:trPr>
        <w:tc>
          <w:tcPr>
            <w:tcW w:type="dxa" w:w="2400"/>
            <w:shd w:fill="E8EEF5"/>
            <w:vAlign w:val="center"/>
            <w:tcMar>
              <w:top w:w="80" w:type="dxa"/>
              <w:start w:w="120" w:type="dxa"/>
              <w:bottom w:w="80" w:type="dxa"/>
              <w:end w:w="120" w:type="dxa"/>
            </w:tcMar>
          </w:tcPr>
          <w:p>
            <w:r>
              <w:rPr>
                <w:b/>
                <w:color w:val="203748"/>
                <w:sz w:val="18"/>
              </w:rPr>
              <w:t>Outcome</w:t>
            </w:r>
          </w:p>
        </w:tc>
        <w:tc>
          <w:tcPr>
            <w:tcW w:type="dxa" w:w="1050"/>
            <w:shd w:fill="E8EEF5"/>
            <w:vAlign w:val="center"/>
            <w:tcMar>
              <w:top w:w="80" w:type="dxa"/>
              <w:start w:w="120" w:type="dxa"/>
              <w:bottom w:w="80" w:type="dxa"/>
              <w:end w:w="120" w:type="dxa"/>
            </w:tcMar>
          </w:tcPr>
          <w:p>
            <w:r>
              <w:rPr>
                <w:b/>
                <w:color w:val="203748"/>
                <w:sz w:val="18"/>
              </w:rPr>
              <w:t>Players</w:t>
            </w:r>
          </w:p>
        </w:tc>
        <w:tc>
          <w:tcPr>
            <w:tcW w:type="dxa" w:w="1350"/>
            <w:shd w:fill="E8EEF5"/>
            <w:vAlign w:val="center"/>
            <w:tcMar>
              <w:top w:w="80" w:type="dxa"/>
              <w:start w:w="120" w:type="dxa"/>
              <w:bottom w:w="80" w:type="dxa"/>
              <w:end w:w="120" w:type="dxa"/>
            </w:tcMar>
          </w:tcPr>
          <w:p>
            <w:r>
              <w:rPr>
                <w:b/>
                <w:color w:val="203748"/>
                <w:sz w:val="18"/>
              </w:rPr>
              <w:t>Mean risk</w:t>
            </w:r>
          </w:p>
        </w:tc>
        <w:tc>
          <w:tcPr>
            <w:tcW w:type="dxa" w:w="1860"/>
            <w:shd w:fill="E8EEF5"/>
            <w:vAlign w:val="center"/>
            <w:tcMar>
              <w:top w:w="80" w:type="dxa"/>
              <w:start w:w="120" w:type="dxa"/>
              <w:bottom w:w="80" w:type="dxa"/>
              <w:end w:w="120" w:type="dxa"/>
            </w:tcMar>
          </w:tcPr>
          <w:p>
            <w:r>
              <w:rPr>
                <w:b/>
                <w:color w:val="203748"/>
                <w:sz w:val="18"/>
              </w:rPr>
              <w:t>Median recency (h)</w:t>
            </w:r>
          </w:p>
        </w:tc>
        <w:tc>
          <w:tcPr>
            <w:tcW w:type="dxa" w:w="1350"/>
            <w:shd w:fill="E8EEF5"/>
            <w:vAlign w:val="center"/>
            <w:tcMar>
              <w:top w:w="80" w:type="dxa"/>
              <w:start w:w="120" w:type="dxa"/>
              <w:bottom w:w="80" w:type="dxa"/>
              <w:end w:w="120" w:type="dxa"/>
            </w:tcMar>
          </w:tcPr>
          <w:p>
            <w:r>
              <w:rPr>
                <w:b/>
                <w:color w:val="203748"/>
                <w:sz w:val="18"/>
              </w:rPr>
              <w:t>Active days</w:t>
            </w:r>
          </w:p>
        </w:tc>
        <w:tc>
          <w:tcPr>
            <w:tcW w:type="dxa" w:w="1350"/>
            <w:shd w:fill="E8EEF5"/>
            <w:vAlign w:val="center"/>
            <w:tcMar>
              <w:top w:w="80" w:type="dxa"/>
              <w:start w:w="120" w:type="dxa"/>
              <w:bottom w:w="80" w:type="dxa"/>
              <w:end w:w="120" w:type="dxa"/>
            </w:tcMar>
          </w:tcPr>
          <w:p>
            <w:r>
              <w:rPr>
                <w:b/>
                <w:color w:val="203748"/>
                <w:sz w:val="18"/>
              </w:rPr>
              <w:t>Sessions</w:t>
            </w:r>
          </w:p>
        </w:tc>
      </w:tr>
      <w:tr>
        <w:tc>
          <w:tcPr>
            <w:tcW w:type="dxa" w:w="2400"/>
            <w:vAlign w:val="center"/>
            <w:tcMar>
              <w:top w:w="80" w:type="dxa"/>
              <w:start w:w="120" w:type="dxa"/>
              <w:bottom w:w="80" w:type="dxa"/>
              <w:end w:w="120" w:type="dxa"/>
            </w:tcMar>
          </w:tcPr>
          <w:p>
            <w:pPr>
              <w:spacing w:after="0" w:line="240" w:lineRule="auto"/>
            </w:pPr>
            <w:r>
              <w:rPr>
                <w:sz w:val="18"/>
              </w:rPr>
              <w:t>False Negative</w:t>
            </w:r>
          </w:p>
        </w:tc>
        <w:tc>
          <w:tcPr>
            <w:tcW w:type="dxa" w:w="1050"/>
            <w:vAlign w:val="center"/>
            <w:tcMar>
              <w:top w:w="80" w:type="dxa"/>
              <w:start w:w="120" w:type="dxa"/>
              <w:bottom w:w="80" w:type="dxa"/>
              <w:end w:w="120" w:type="dxa"/>
            </w:tcMar>
          </w:tcPr>
          <w:p>
            <w:pPr>
              <w:spacing w:after="0" w:line="240" w:lineRule="auto"/>
            </w:pPr>
            <w:r>
              <w:rPr>
                <w:sz w:val="18"/>
              </w:rPr>
              <w:t>197</w:t>
            </w:r>
          </w:p>
        </w:tc>
        <w:tc>
          <w:tcPr>
            <w:tcW w:type="dxa" w:w="1350"/>
            <w:vAlign w:val="center"/>
            <w:tcMar>
              <w:top w:w="80" w:type="dxa"/>
              <w:start w:w="120" w:type="dxa"/>
              <w:bottom w:w="80" w:type="dxa"/>
              <w:end w:w="120" w:type="dxa"/>
            </w:tcMar>
          </w:tcPr>
          <w:p>
            <w:pPr>
              <w:spacing w:after="0" w:line="240" w:lineRule="auto"/>
            </w:pPr>
            <w:r>
              <w:rPr>
                <w:sz w:val="18"/>
              </w:rPr>
              <w:t>0.172</w:t>
            </w:r>
          </w:p>
        </w:tc>
        <w:tc>
          <w:tcPr>
            <w:tcW w:type="dxa" w:w="1860"/>
            <w:vAlign w:val="center"/>
            <w:tcMar>
              <w:top w:w="80" w:type="dxa"/>
              <w:start w:w="120" w:type="dxa"/>
              <w:bottom w:w="80" w:type="dxa"/>
              <w:end w:w="120" w:type="dxa"/>
            </w:tcMar>
          </w:tcPr>
          <w:p>
            <w:pPr>
              <w:spacing w:after="0" w:line="240" w:lineRule="auto"/>
            </w:pPr>
            <w:r>
              <w:rPr>
                <w:sz w:val="18"/>
              </w:rPr>
              <w:t>5.4</w:t>
            </w:r>
          </w:p>
        </w:tc>
        <w:tc>
          <w:tcPr>
            <w:tcW w:type="dxa" w:w="1350"/>
            <w:vAlign w:val="center"/>
            <w:tcMar>
              <w:top w:w="80" w:type="dxa"/>
              <w:start w:w="120" w:type="dxa"/>
              <w:bottom w:w="80" w:type="dxa"/>
              <w:end w:w="120" w:type="dxa"/>
            </w:tcMar>
          </w:tcPr>
          <w:p>
            <w:pPr>
              <w:spacing w:after="0" w:line="240" w:lineRule="auto"/>
            </w:pPr>
            <w:r>
              <w:rPr>
                <w:sz w:val="18"/>
              </w:rPr>
              <w:t>4.0</w:t>
            </w:r>
          </w:p>
        </w:tc>
        <w:tc>
          <w:tcPr>
            <w:tcW w:type="dxa" w:w="1350"/>
            <w:vAlign w:val="center"/>
            <w:tcMar>
              <w:top w:w="80" w:type="dxa"/>
              <w:start w:w="120" w:type="dxa"/>
              <w:bottom w:w="80" w:type="dxa"/>
              <w:end w:w="120" w:type="dxa"/>
            </w:tcMar>
          </w:tcPr>
          <w:p>
            <w:pPr>
              <w:spacing w:after="0" w:line="240" w:lineRule="auto"/>
            </w:pPr>
            <w:r>
              <w:rPr>
                <w:sz w:val="18"/>
              </w:rPr>
              <w:t>8.0</w:t>
            </w:r>
          </w:p>
        </w:tc>
      </w:tr>
      <w:tr>
        <w:tc>
          <w:tcPr>
            <w:tcW w:type="dxa" w:w="2400"/>
            <w:vAlign w:val="center"/>
            <w:tcMar>
              <w:top w:w="80" w:type="dxa"/>
              <w:start w:w="120" w:type="dxa"/>
              <w:bottom w:w="80" w:type="dxa"/>
              <w:end w:w="120" w:type="dxa"/>
            </w:tcMar>
          </w:tcPr>
          <w:p>
            <w:pPr>
              <w:spacing w:after="0" w:line="240" w:lineRule="auto"/>
            </w:pPr>
            <w:r>
              <w:rPr>
                <w:sz w:val="18"/>
              </w:rPr>
              <w:t>False Positive</w:t>
            </w:r>
          </w:p>
        </w:tc>
        <w:tc>
          <w:tcPr>
            <w:tcW w:type="dxa" w:w="1050"/>
            <w:vAlign w:val="center"/>
            <w:tcMar>
              <w:top w:w="80" w:type="dxa"/>
              <w:start w:w="120" w:type="dxa"/>
              <w:bottom w:w="80" w:type="dxa"/>
              <w:end w:w="120" w:type="dxa"/>
            </w:tcMar>
          </w:tcPr>
          <w:p>
            <w:pPr>
              <w:spacing w:after="0" w:line="240" w:lineRule="auto"/>
            </w:pPr>
            <w:r>
              <w:rPr>
                <w:sz w:val="18"/>
              </w:rPr>
              <w:t>512</w:t>
            </w:r>
          </w:p>
        </w:tc>
        <w:tc>
          <w:tcPr>
            <w:tcW w:type="dxa" w:w="1350"/>
            <w:vAlign w:val="center"/>
            <w:tcMar>
              <w:top w:w="80" w:type="dxa"/>
              <w:start w:w="120" w:type="dxa"/>
              <w:bottom w:w="80" w:type="dxa"/>
              <w:end w:w="120" w:type="dxa"/>
            </w:tcMar>
          </w:tcPr>
          <w:p>
            <w:pPr>
              <w:spacing w:after="0" w:line="240" w:lineRule="auto"/>
            </w:pPr>
            <w:r>
              <w:rPr>
                <w:sz w:val="18"/>
              </w:rPr>
              <w:t>0.521</w:t>
            </w:r>
          </w:p>
        </w:tc>
        <w:tc>
          <w:tcPr>
            <w:tcW w:type="dxa" w:w="1860"/>
            <w:vAlign w:val="center"/>
            <w:tcMar>
              <w:top w:w="80" w:type="dxa"/>
              <w:start w:w="120" w:type="dxa"/>
              <w:bottom w:w="80" w:type="dxa"/>
              <w:end w:w="120" w:type="dxa"/>
            </w:tcMar>
          </w:tcPr>
          <w:p>
            <w:pPr>
              <w:spacing w:after="0" w:line="240" w:lineRule="auto"/>
            </w:pPr>
            <w:r>
              <w:rPr>
                <w:sz w:val="18"/>
              </w:rPr>
              <w:t>32.0</w:t>
            </w:r>
          </w:p>
        </w:tc>
        <w:tc>
          <w:tcPr>
            <w:tcW w:type="dxa" w:w="1350"/>
            <w:vAlign w:val="center"/>
            <w:tcMar>
              <w:top w:w="80" w:type="dxa"/>
              <w:start w:w="120" w:type="dxa"/>
              <w:bottom w:w="80" w:type="dxa"/>
              <w:end w:w="120" w:type="dxa"/>
            </w:tcMar>
          </w:tcPr>
          <w:p>
            <w:pPr>
              <w:spacing w:after="0" w:line="240" w:lineRule="auto"/>
            </w:pPr>
            <w:r>
              <w:rPr>
                <w:sz w:val="18"/>
              </w:rPr>
              <w:t>3.0</w:t>
            </w:r>
          </w:p>
        </w:tc>
        <w:tc>
          <w:tcPr>
            <w:tcW w:type="dxa" w:w="1350"/>
            <w:vAlign w:val="center"/>
            <w:tcMar>
              <w:top w:w="80" w:type="dxa"/>
              <w:start w:w="120" w:type="dxa"/>
              <w:bottom w:w="80" w:type="dxa"/>
              <w:end w:w="120" w:type="dxa"/>
            </w:tcMar>
          </w:tcPr>
          <w:p>
            <w:pPr>
              <w:spacing w:after="0" w:line="240" w:lineRule="auto"/>
            </w:pPr>
            <w:r>
              <w:rPr>
                <w:sz w:val="18"/>
              </w:rPr>
              <w:t>4.0</w:t>
            </w:r>
          </w:p>
        </w:tc>
      </w:tr>
      <w:tr>
        <w:tc>
          <w:tcPr>
            <w:tcW w:type="dxa" w:w="2400"/>
            <w:vAlign w:val="center"/>
            <w:tcMar>
              <w:top w:w="80" w:type="dxa"/>
              <w:start w:w="120" w:type="dxa"/>
              <w:bottom w:w="80" w:type="dxa"/>
              <w:end w:w="120" w:type="dxa"/>
            </w:tcMar>
          </w:tcPr>
          <w:p>
            <w:pPr>
              <w:spacing w:after="0" w:line="240" w:lineRule="auto"/>
            </w:pPr>
            <w:r>
              <w:rPr>
                <w:sz w:val="18"/>
              </w:rPr>
              <w:t>True Negative</w:t>
            </w:r>
          </w:p>
        </w:tc>
        <w:tc>
          <w:tcPr>
            <w:tcW w:type="dxa" w:w="1050"/>
            <w:vAlign w:val="center"/>
            <w:tcMar>
              <w:top w:w="80" w:type="dxa"/>
              <w:start w:w="120" w:type="dxa"/>
              <w:bottom w:w="80" w:type="dxa"/>
              <w:end w:w="120" w:type="dxa"/>
            </w:tcMar>
          </w:tcPr>
          <w:p>
            <w:pPr>
              <w:spacing w:after="0" w:line="240" w:lineRule="auto"/>
            </w:pPr>
            <w:r>
              <w:rPr>
                <w:sz w:val="18"/>
              </w:rPr>
              <w:t>1,245</w:t>
            </w:r>
          </w:p>
        </w:tc>
        <w:tc>
          <w:tcPr>
            <w:tcW w:type="dxa" w:w="1350"/>
            <w:vAlign w:val="center"/>
            <w:tcMar>
              <w:top w:w="80" w:type="dxa"/>
              <w:start w:w="120" w:type="dxa"/>
              <w:bottom w:w="80" w:type="dxa"/>
              <w:end w:w="120" w:type="dxa"/>
            </w:tcMar>
          </w:tcPr>
          <w:p>
            <w:pPr>
              <w:spacing w:after="0" w:line="240" w:lineRule="auto"/>
            </w:pPr>
            <w:r>
              <w:rPr>
                <w:sz w:val="18"/>
              </w:rPr>
              <w:t>0.127</w:t>
            </w:r>
          </w:p>
        </w:tc>
        <w:tc>
          <w:tcPr>
            <w:tcW w:type="dxa" w:w="1860"/>
            <w:vAlign w:val="center"/>
            <w:tcMar>
              <w:top w:w="80" w:type="dxa"/>
              <w:start w:w="120" w:type="dxa"/>
              <w:bottom w:w="80" w:type="dxa"/>
              <w:end w:w="120" w:type="dxa"/>
            </w:tcMar>
          </w:tcPr>
          <w:p>
            <w:pPr>
              <w:spacing w:after="0" w:line="240" w:lineRule="auto"/>
            </w:pPr>
            <w:r>
              <w:rPr>
                <w:sz w:val="18"/>
              </w:rPr>
              <w:t>2.7</w:t>
            </w:r>
          </w:p>
        </w:tc>
        <w:tc>
          <w:tcPr>
            <w:tcW w:type="dxa" w:w="1350"/>
            <w:vAlign w:val="center"/>
            <w:tcMar>
              <w:top w:w="80" w:type="dxa"/>
              <w:start w:w="120" w:type="dxa"/>
              <w:bottom w:w="80" w:type="dxa"/>
              <w:end w:w="120" w:type="dxa"/>
            </w:tcMar>
          </w:tcPr>
          <w:p>
            <w:pPr>
              <w:spacing w:after="0" w:line="240" w:lineRule="auto"/>
            </w:pPr>
            <w:r>
              <w:rPr>
                <w:sz w:val="18"/>
              </w:rPr>
              <w:t>4.0</w:t>
            </w:r>
          </w:p>
        </w:tc>
        <w:tc>
          <w:tcPr>
            <w:tcW w:type="dxa" w:w="1350"/>
            <w:vAlign w:val="center"/>
            <w:tcMar>
              <w:top w:w="80" w:type="dxa"/>
              <w:start w:w="120" w:type="dxa"/>
              <w:bottom w:w="80" w:type="dxa"/>
              <w:end w:w="120" w:type="dxa"/>
            </w:tcMar>
          </w:tcPr>
          <w:p>
            <w:pPr>
              <w:spacing w:after="0" w:line="240" w:lineRule="auto"/>
            </w:pPr>
            <w:r>
              <w:rPr>
                <w:sz w:val="18"/>
              </w:rPr>
              <w:t>11.0</w:t>
            </w:r>
          </w:p>
        </w:tc>
      </w:tr>
      <w:tr>
        <w:tc>
          <w:tcPr>
            <w:tcW w:type="dxa" w:w="2400"/>
            <w:vAlign w:val="center"/>
            <w:tcMar>
              <w:top w:w="80" w:type="dxa"/>
              <w:start w:w="120" w:type="dxa"/>
              <w:bottom w:w="80" w:type="dxa"/>
              <w:end w:w="120" w:type="dxa"/>
            </w:tcMar>
          </w:tcPr>
          <w:p>
            <w:pPr>
              <w:spacing w:after="0" w:line="240" w:lineRule="auto"/>
            </w:pPr>
            <w:r>
              <w:rPr>
                <w:sz w:val="18"/>
              </w:rPr>
              <w:t>True Positive</w:t>
            </w:r>
          </w:p>
        </w:tc>
        <w:tc>
          <w:tcPr>
            <w:tcW w:type="dxa" w:w="1050"/>
            <w:vAlign w:val="center"/>
            <w:tcMar>
              <w:top w:w="80" w:type="dxa"/>
              <w:start w:w="120" w:type="dxa"/>
              <w:bottom w:w="80" w:type="dxa"/>
              <w:end w:w="120" w:type="dxa"/>
            </w:tcMar>
          </w:tcPr>
          <w:p>
            <w:pPr>
              <w:spacing w:after="0" w:line="240" w:lineRule="auto"/>
            </w:pPr>
            <w:r>
              <w:rPr>
                <w:sz w:val="18"/>
              </w:rPr>
              <w:t>704</w:t>
            </w:r>
          </w:p>
        </w:tc>
        <w:tc>
          <w:tcPr>
            <w:tcW w:type="dxa" w:w="1350"/>
            <w:vAlign w:val="center"/>
            <w:tcMar>
              <w:top w:w="80" w:type="dxa"/>
              <w:start w:w="120" w:type="dxa"/>
              <w:bottom w:w="80" w:type="dxa"/>
              <w:end w:w="120" w:type="dxa"/>
            </w:tcMar>
          </w:tcPr>
          <w:p>
            <w:pPr>
              <w:spacing w:after="0" w:line="240" w:lineRule="auto"/>
            </w:pPr>
            <w:r>
              <w:rPr>
                <w:sz w:val="18"/>
              </w:rPr>
              <w:t>0.588</w:t>
            </w:r>
          </w:p>
        </w:tc>
        <w:tc>
          <w:tcPr>
            <w:tcW w:type="dxa" w:w="1860"/>
            <w:vAlign w:val="center"/>
            <w:tcMar>
              <w:top w:w="80" w:type="dxa"/>
              <w:start w:w="120" w:type="dxa"/>
              <w:bottom w:w="80" w:type="dxa"/>
              <w:end w:w="120" w:type="dxa"/>
            </w:tcMar>
          </w:tcPr>
          <w:p>
            <w:pPr>
              <w:spacing w:after="0" w:line="240" w:lineRule="auto"/>
            </w:pPr>
            <w:r>
              <w:rPr>
                <w:sz w:val="18"/>
              </w:rPr>
              <w:t>47.7</w:t>
            </w:r>
          </w:p>
        </w:tc>
        <w:tc>
          <w:tcPr>
            <w:tcW w:type="dxa" w:w="1350"/>
            <w:vAlign w:val="center"/>
            <w:tcMar>
              <w:top w:w="80" w:type="dxa"/>
              <w:start w:w="120" w:type="dxa"/>
              <w:bottom w:w="80" w:type="dxa"/>
              <w:end w:w="120" w:type="dxa"/>
            </w:tcMar>
          </w:tcPr>
          <w:p>
            <w:pPr>
              <w:spacing w:after="0" w:line="240" w:lineRule="auto"/>
            </w:pPr>
            <w:r>
              <w:rPr>
                <w:sz w:val="18"/>
              </w:rPr>
              <w:t>2.0</w:t>
            </w:r>
          </w:p>
        </w:tc>
        <w:tc>
          <w:tcPr>
            <w:tcW w:type="dxa" w:w="1350"/>
            <w:vAlign w:val="center"/>
            <w:tcMar>
              <w:top w:w="80" w:type="dxa"/>
              <w:start w:w="120" w:type="dxa"/>
              <w:bottom w:w="80" w:type="dxa"/>
              <w:end w:w="120" w:type="dxa"/>
            </w:tcMar>
          </w:tcPr>
          <w:p>
            <w:pPr>
              <w:spacing w:after="0" w:line="240" w:lineRule="auto"/>
            </w:pPr>
            <w:r>
              <w:rPr>
                <w:sz w:val="18"/>
              </w:rPr>
              <w:t>3.0</w:t>
            </w:r>
          </w:p>
        </w:tc>
      </w:tr>
    </w:tbl>
    <w:p>
      <w:pPr>
        <w:spacing w:after="0"/>
      </w:pPr>
    </w:p>
    <w:p>
      <w:pPr>
        <w:pStyle w:val="Caption"/>
        <w:jc w:val="center"/>
      </w:pPr>
      <w:r>
        <w:t>Table 5. Behavioral profile of correct and incorrect development predictions.</w:t>
      </w:r>
    </w:p>
    <w:p>
      <w:r>
        <w:t>False negatives looked more like retained users: their median recency was only 5.4 hours, with four active days and eight sessions. False positives showed the opposite pattern, with median recency of 32.0 hours and only four sessions. This overlap explains why behavior-based churn prediction remains probabilistic and suggests that any intervention should be low-cost and reversible.</w:t>
      </w:r>
    </w:p>
    <w:p>
      <w:pPr>
        <w:pStyle w:val="Heading1"/>
      </w:pPr>
      <w:r>
        <w:t>4. Conclusion</w:t>
      </w:r>
    </w:p>
    <w:p>
      <w:r>
        <w:t>Early gameplay logs contain sufficient signal to support useful, though imperfect, churn-risk ranking. Among four tuned classifiers, Random Forest achieved the strongest training cross-validated AUROC and generalized to a development AUROC of 0.8024, recall of 0.7814, and F1-score of 0.6651. Recency, continuity of activity, and progression intensity were the most influential predictors. The model can guide supportive retention experiments, but deployment should wait for validation on another time period or game, probability calibration monitoring, and controlled testing to distinguish predictive association from causal impact.</w:t>
      </w:r>
    </w:p>
    <w:p>
      <w:pPr>
        <w:pStyle w:val="Heading1"/>
      </w:pPr>
      <w:r>
        <w:t>References</w:t>
      </w:r>
    </w:p>
    <w:p>
      <w:r>
        <w:t>ManVictor. Prediction of User Loss in Mobile Games. Kaggle dataset. https://www.kaggle.com/datasets/manchvictor/prediction-of-user-loss-in-mobile-games</w:t>
      </w:r>
    </w:p>
    <w:p>
      <w:r>
        <w:t>Lundberg, S. M., &amp; Lee, S.-I. (2017). A Unified Approach to Interpreting Model Predictions. Advances in Neural Information Processing Systems, 30.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A74"/>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color w:val="606A74"/>
        <w:sz w:val="16"/>
      </w:rPr>
      <w:t>EARLY PREDICTION OF PLAYER CHURN  |  CSE437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E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606A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76" w:lineRule="auto"/>
    </w:pPr>
    <w:rPr>
      <w:rFonts w:ascii="Calibri" w:hAnsi="Calibri"/>
      <w:color w:val="20374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