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rPr/>
      </w:pPr>
      <w:r>
        <w:rPr/>
        <w:t>Guia Prático Avançado: Modernização e Teste de Estresse</w:t>
      </w:r>
    </w:p>
    <w:p>
      <w:pPr>
        <w:pStyle w:val="Heading2"/>
        <w:bidi w:val="0"/>
        <w:rPr/>
      </w:pPr>
      <w:r>
        <w:rPr/>
        <w:t>Mini Radar ENEM — Simulação de PaaS, FaaS e Teste de Carga com Locust</w:t>
      </w:r>
    </w:p>
    <w:p>
      <w:pPr>
        <w:pStyle w:val="Corpodetextometa"/>
        <w:bidi w:val="0"/>
        <w:rPr/>
      </w:pPr>
      <w:r>
        <w:rPr>
          <w:b/>
        </w:rPr>
        <w:t>Disciplina:</w:t>
      </w:r>
      <w:r>
        <w:rPr/>
        <w:t xml:space="preserve"> Computação em Nuvem</w:t>
      </w:r>
    </w:p>
    <w:p>
      <w:pPr>
        <w:pStyle w:val="Corpodetextometa"/>
        <w:bidi w:val="0"/>
        <w:rPr/>
      </w:pPr>
      <w:r>
        <w:rPr>
          <w:b/>
        </w:rPr>
        <w:t>Integrantes:</w:t>
      </w:r>
      <w:r>
        <w:rPr/>
        <w:t xml:space="preserve"> João Pedro Silva, João Pedro Benvenutti, Gabriel Xavier, Nyrx</w:t>
      </w:r>
    </w:p>
    <w:p>
      <w:pPr>
        <w:pStyle w:val="Heading3"/>
        <w:bidi w:val="0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>Esta atividade dá continuidade ao projeto Mini Radar ENEM, evoluindo a aplicação de um monólito simples para uma arquitetura desacoplada em microsserviços. O objetivo é simular, em ambiente local, dois modelos de serviço em nuvem trabalhando em conjunto: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PaaS (Platform as a Service):</w:t>
      </w:r>
      <w:r>
        <w:rPr/>
        <w:t xml:space="preserve"> representado pela aplicação principal em Flask (</w:t>
      </w:r>
      <w:r>
        <w:rPr>
          <w:rStyle w:val="Teletipo"/>
        </w:rPr>
        <w:t>app.py</w:t>
      </w:r>
      <w:r>
        <w:rPr/>
        <w:t xml:space="preserve">), responsável por exibir as informações ao aluno.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FaaS / Serverless (Function as a Service):</w:t>
      </w:r>
      <w:r>
        <w:rPr/>
        <w:t xml:space="preserve"> representado pelo microsserviço em FastAPI (</w:t>
      </w:r>
      <w:r>
        <w:rPr>
          <w:rStyle w:val="Teletipo"/>
        </w:rPr>
        <w:t>calculadora_service/main.py</w:t>
      </w:r>
      <w:r>
        <w:rPr/>
        <w:t xml:space="preserve">), responsável exclusivamente por calcular a nota de corte. </w:t>
      </w:r>
    </w:p>
    <w:p>
      <w:pPr>
        <w:pStyle w:val="BodyText"/>
        <w:bidi w:val="0"/>
        <w:rPr/>
      </w:pPr>
      <w:r>
        <w:rPr/>
        <w:t xml:space="preserve">Além disso, foi realizado um teste de carga com a ferramenta </w:t>
      </w:r>
      <w:r>
        <w:rPr>
          <w:b/>
        </w:rPr>
        <w:t>Locust</w:t>
      </w:r>
      <w:r>
        <w:rPr/>
        <w:t xml:space="preserve">, para avaliar o comportamento da arquitetura sob estresse e validar o mecanismo de </w:t>
      </w:r>
      <w:r>
        <w:rPr>
          <w:b/>
        </w:rPr>
        <w:t>resiliência ativa (graceful degradation)</w:t>
      </w:r>
      <w:r>
        <w:rPr/>
        <w:t xml:space="preserve"> implementado no site principal.</w:t>
      </w:r>
    </w:p>
    <w:p>
      <w:pPr>
        <w:pStyle w:val="Heading3"/>
        <w:bidi w:val="0"/>
        <w:rPr/>
      </w:pPr>
      <w:r>
        <w:rPr/>
        <w:t>2. Fase 1 — Baseline da Calculadora (FaaS com 1 worker)</w:t>
      </w:r>
    </w:p>
    <w:p>
      <w:pPr>
        <w:pStyle w:val="BodyText"/>
        <w:bidi w:val="0"/>
        <w:rPr/>
      </w:pPr>
      <w:r>
        <w:rPr/>
        <w:t xml:space="preserve">Antes de simular a escala da nuvem, o microsserviço de cálculo foi executado com apenas </w:t>
      </w:r>
      <w:r>
        <w:rPr>
          <w:b/>
        </w:rPr>
        <w:t>1 worker</w:t>
      </w:r>
      <w:r>
        <w:rPr/>
        <w:t>, representando um servidor comum, sem paralelismo:</w:t>
      </w:r>
    </w:p>
    <w:p>
      <w:pPr>
        <w:pStyle w:val="Textoprformatado"/>
        <w:bidi w:val="0"/>
        <w:rPr/>
      </w:pPr>
      <w:r>
        <w:rPr/>
        <w:t>uvicorn calculadora_service.main:app --port 8000 --workers 1</w:t>
      </w:r>
    </w:p>
    <w:p>
      <w:pPr>
        <w:pStyle w:val="BodyText"/>
        <w:bidi w:val="0"/>
        <w:rPr/>
      </w:pPr>
      <w:r>
        <w:rPr/>
        <w:t>Esse cenário serve como linha de base (baseline) para comparação: com um único processo atendendo às requisições, o serviço tem capacidade limitada para responder a múltiplos acessos simultâneos.</w:t>
      </w:r>
    </w:p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925830"/>
            <wp:effectExtent l="0" t="0" r="0" b="0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92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1 — Inicialização da API de cálculo (FastAPI) com 1 worker, simulando um servidor tradicional sem escalabilidade.</w:t>
      </w:r>
    </w:p>
    <w:p>
      <w:pPr>
        <w:pStyle w:val="Heading3"/>
        <w:bidi w:val="0"/>
        <w:rPr/>
      </w:pPr>
      <w:r>
        <w:rPr/>
        <w:t>3. Fase 2 — Escalando a Calculadora (FaaS com 4 workers)</w:t>
      </w:r>
    </w:p>
    <w:p>
      <w:pPr>
        <w:pStyle w:val="BodyText"/>
        <w:bidi w:val="0"/>
        <w:rPr/>
      </w:pPr>
      <w:r>
        <w:rPr/>
        <w:t xml:space="preserve">Em seguida, o mesmo serviço foi reiniciado com </w:t>
      </w:r>
      <w:r>
        <w:rPr>
          <w:b/>
        </w:rPr>
        <w:t>4 workers</w:t>
      </w:r>
      <w:r>
        <w:rPr/>
        <w:t>, simulando o comportamento de um ambiente serverless na nuvem, no qual múltiplas instâncias da função são provisionadas automaticamente para atender à demanda:</w:t>
      </w:r>
    </w:p>
    <w:p>
      <w:pPr>
        <w:pStyle w:val="Textoprformatado"/>
        <w:bidi w:val="0"/>
        <w:rPr/>
      </w:pPr>
      <w:r>
        <w:rPr/>
        <w:t>uvicorn calculadora_service.main:app --port 8000 --workers 4</w:t>
      </w:r>
    </w:p>
    <w:p>
      <w:pPr>
        <w:pStyle w:val="BodyText"/>
        <w:bidi w:val="0"/>
        <w:rPr/>
      </w:pPr>
      <w:r>
        <w:rPr/>
        <w:t xml:space="preserve">Como pode ser observado no terminal, o Uvicorn inicia um processo pai e </w:t>
      </w:r>
      <w:r>
        <w:rPr>
          <w:b/>
        </w:rPr>
        <w:t>quatro processos filhos</w:t>
      </w:r>
      <w:r>
        <w:rPr/>
        <w:t xml:space="preserve"> (</w:t>
      </w:r>
      <w:r>
        <w:rPr>
          <w:rStyle w:val="Teletipo"/>
        </w:rPr>
        <w:t>Started server process</w:t>
      </w:r>
      <w:r>
        <w:rPr/>
        <w:t>), cada um pronto para atender requisições de forma paralela — o equivalente local ao provisionamento automático de instâncias que a AWS ou o Azure realizariam em um ambiente real de FaaS.</w:t>
      </w:r>
    </w:p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1529715"/>
            <wp:effectExtent l="0" t="0" r="0" b="0"/>
            <wp:docPr id="2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52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2 — API de cálculo reiniciada com 4 workers, simulando o provisionamento automático de instâncias em um ambiente Serverless/FaaS.</w:t>
      </w:r>
    </w:p>
    <w:p>
      <w:pPr>
        <w:pStyle w:val="Heading3"/>
        <w:bidi w:val="0"/>
        <w:rPr/>
      </w:pPr>
      <w:r>
        <w:rPr/>
        <w:t>4. Fase 3 — Site Principal (PaaS) Consumindo o Microsserviço</w:t>
      </w:r>
    </w:p>
    <w:p>
      <w:pPr>
        <w:pStyle w:val="BodyText"/>
        <w:bidi w:val="0"/>
        <w:rPr/>
      </w:pPr>
      <w:r>
        <w:rPr/>
        <w:t>Com a calculadora no ar, a aplicação principal em Flask foi iniciada, configurada por variável de ambiente para localizar o microsserviço — sem necessidade de alterar nenhuma linha de código:</w:t>
      </w:r>
    </w:p>
    <w:p>
      <w:pPr>
        <w:pStyle w:val="Textoprformatado"/>
        <w:bidi w:val="0"/>
        <w:rPr/>
      </w:pPr>
      <w:r>
        <w:rPr/>
        <w:t>export CALCULADORA_URL="http://localhost:8000/api/CalculaNota"</w:t>
      </w:r>
    </w:p>
    <w:p>
      <w:pPr>
        <w:pStyle w:val="Textoprformatado"/>
        <w:bidi w:val="0"/>
        <w:rPr/>
      </w:pPr>
      <w:r>
        <w:rPr/>
        <w:t>python3 app.py</w:t>
      </w:r>
    </w:p>
    <w:p>
      <w:pPr>
        <w:pStyle w:val="BodyText"/>
        <w:bidi w:val="0"/>
        <w:rPr/>
      </w:pPr>
      <w:r>
        <w:rPr/>
        <w:t>O terminal confirma que o Flask subiu com sucesso (</w:t>
      </w:r>
      <w:r>
        <w:rPr>
          <w:rStyle w:val="Teletipo"/>
        </w:rPr>
        <w:t>Serving Flask app</w:t>
      </w:r>
      <w:r>
        <w:rPr/>
        <w:t xml:space="preserve">) e respondeu a uma requisição </w:t>
      </w:r>
      <w:r>
        <w:rPr>
          <w:rStyle w:val="Teletipo"/>
        </w:rPr>
        <w:t>GET /</w:t>
      </w:r>
      <w:r>
        <w:rPr/>
        <w:t xml:space="preserve"> com status </w:t>
      </w:r>
      <w:r>
        <w:rPr>
          <w:rStyle w:val="Teletipo"/>
        </w:rPr>
        <w:t>200</w:t>
      </w:r>
      <w:r>
        <w:rPr/>
        <w:t>.</w:t>
      </w:r>
    </w:p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1831340"/>
            <wp:effectExtent l="0" t="0" r="0" b="0"/>
            <wp:docPr id="3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83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3 — Aplicação principal (Flask/PaaS) em execução, configurada via variável de ambiente CALCULADORA_URL para se comunicar com o microsserviço.</w:t>
      </w:r>
    </w:p>
    <w:p>
      <w:pPr>
        <w:pStyle w:val="BodyText"/>
        <w:bidi w:val="0"/>
        <w:rPr/>
      </w:pPr>
      <w:r>
        <w:rPr/>
        <w:t xml:space="preserve">Para validar a integração entre os dois serviços, foi feita uma chamada ao endpoint </w:t>
      </w:r>
      <w:r>
        <w:rPr>
          <w:rStyle w:val="Teletipo"/>
        </w:rPr>
        <w:t>/exibir_nota</w:t>
      </w:r>
      <w:r>
        <w:rPr/>
        <w:t>, que repassa as notas para a calculadora e devolve o resultado calculado:</w:t>
      </w:r>
    </w:p>
    <w:p>
      <w:pPr>
        <w:pStyle w:val="Textoprformatado"/>
        <w:bidi w:val="0"/>
        <w:rPr/>
      </w:pPr>
      <w:r>
        <w:rPr/>
        <w:t>curl -X POST http://localhost:5000/exibir_nota \</w:t>
      </w:r>
    </w:p>
    <w:p>
      <w:pPr>
        <w:pStyle w:val="Textoprformatado"/>
        <w:bidi w:val="0"/>
        <w:rPr/>
      </w:pPr>
      <w:r>
        <w:rPr/>
        <w:t xml:space="preserve">  </w:t>
      </w:r>
      <w:r>
        <w:rPr/>
        <w:t>-H "Content-Type: application/json" \</w:t>
      </w:r>
    </w:p>
    <w:p>
      <w:pPr>
        <w:pStyle w:val="Textoprformatado"/>
        <w:bidi w:val="0"/>
        <w:rPr/>
      </w:pPr>
      <w:r>
        <w:rPr/>
        <w:t xml:space="preserve">  </w:t>
      </w:r>
      <w:r>
        <w:rPr/>
        <w:t>-d '{"notas": [720.5, 680.0, 810.2, 640.8, 780.0]}'</w:t>
      </w:r>
    </w:p>
    <w:p>
      <w:pPr>
        <w:pStyle w:val="BodyText"/>
        <w:bidi w:val="0"/>
        <w:rPr/>
      </w:pPr>
      <w:r>
        <w:rPr/>
        <w:t xml:space="preserve">A resposta obtida foi </w:t>
      </w:r>
      <w:r>
        <w:rPr>
          <w:rStyle w:val="Teletipo"/>
        </w:rPr>
        <w:t>{"mensagem":"Sua nota de corte é: 726.3"}</w:t>
      </w:r>
      <w:r>
        <w:rPr/>
        <w:t>, confirmando a comunicação correta entre o site principal e o microsserviço de cálculo.</w:t>
      </w:r>
    </w:p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850265"/>
            <wp:effectExtent l="0" t="0" r="0" b="0"/>
            <wp:docPr id="4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85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4 — Requisição de teste ao endpoint /exibir_nota, confirmando que o site principal (PaaS) consulta o microsserviço de cálculo (FaaS) e retorna o resultado ao usuário.</w:t>
      </w:r>
    </w:p>
    <w:p>
      <w:pPr>
        <w:pStyle w:val="Heading3"/>
        <w:bidi w:val="0"/>
        <w:rPr/>
      </w:pPr>
      <w:r>
        <w:rPr/>
        <w:t>5. Fase 4 — Teste de Carga com Locust</w:t>
      </w:r>
    </w:p>
    <w:p>
      <w:pPr>
        <w:pStyle w:val="BodyText"/>
        <w:bidi w:val="0"/>
        <w:rPr/>
      </w:pPr>
      <w:r>
        <w:rPr/>
        <w:t xml:space="preserve">Para avaliar a arquitetura sob pressão, foi utilizada a ferramenta </w:t>
      </w:r>
      <w:r>
        <w:rPr>
          <w:b/>
        </w:rPr>
        <w:t>Locust</w:t>
      </w:r>
      <w:r>
        <w:rPr/>
        <w:t>, que simula milhares de usuários acessando o sistema ao mesmo tempo:</w:t>
      </w:r>
    </w:p>
    <w:p>
      <w:pPr>
        <w:pStyle w:val="Textoprformatado"/>
        <w:bidi w:val="0"/>
        <w:rPr/>
      </w:pPr>
      <w:r>
        <w:rPr/>
        <w:t>locust -f locustfile.py --host http://localhost:8000</w:t>
      </w:r>
    </w:p>
    <w:p>
      <w:pPr>
        <w:pStyle w:val="BodyText"/>
        <w:bidi w:val="0"/>
        <w:rPr/>
      </w:pPr>
      <w:r>
        <w:rPr/>
        <w:t>O teste foi configurado pela interface web (</w:t>
      </w:r>
      <w:r>
        <w:rPr>
          <w:rStyle w:val="Teletipo"/>
        </w:rPr>
        <w:t>http://localhost:8089</w:t>
      </w:r>
      <w:r>
        <w:rPr/>
        <w:t xml:space="preserve">) com os seguintes parâmetros: </w:t>
      </w:r>
      <w:r>
        <w:rPr>
          <w:b/>
        </w:rPr>
        <w:t>1000 usuários</w:t>
      </w:r>
      <w:r>
        <w:rPr/>
        <w:t xml:space="preserve"> (peak concurrency), </w:t>
      </w:r>
      <w:r>
        <w:rPr>
          <w:b/>
        </w:rPr>
        <w:t>ramp up de 50 usuários por segundo</w:t>
      </w:r>
      <w:r>
        <w:rPr/>
        <w:t xml:space="preserve"> e host </w:t>
      </w:r>
      <w:r>
        <w:rPr>
          <w:rStyle w:val="Teletipo"/>
        </w:rPr>
        <w:t>http://localhost:8000</w:t>
      </w:r>
      <w:r>
        <w:rPr/>
        <w:t>.</w:t>
      </w:r>
    </w:p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2188210"/>
            <wp:effectExtent l="0" t="0" r="0" b="0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218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5 — Configuração do teste de carga na interface visual do Locust, simulando 1000 alunos acessando a calculadora de nota de corte simultaneamente.</w:t>
      </w:r>
    </w:p>
    <w:p>
      <w:pPr>
        <w:pStyle w:val="BodyText"/>
        <w:bidi w:val="0"/>
        <w:rPr/>
      </w:pPr>
      <w:r>
        <w:rPr/>
        <w:t xml:space="preserve">Durante a execução, o painel </w:t>
      </w:r>
      <w:r>
        <w:rPr>
          <w:b/>
        </w:rPr>
        <w:t>Statistics</w:t>
      </w:r>
      <w:r>
        <w:rPr/>
        <w:t xml:space="preserve"> exibiu os resultados agregados do endpoint </w:t>
      </w:r>
      <w:r>
        <w:rPr>
          <w:rStyle w:val="Teletipo"/>
        </w:rPr>
        <w:t>POST /api/CalculaNota</w:t>
      </w:r>
      <w:r>
        <w:rPr/>
        <w:t>:</w:t>
      </w:r>
    </w:p>
    <w:tbl>
      <w:tblPr>
        <w:tblW w:w="470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4"/>
        <w:gridCol w:w="1617"/>
      </w:tblGrid>
      <w:tr>
        <w:trPr/>
        <w:tc>
          <w:tcPr>
            <w:tcW w:w="3084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Métrica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Valor obtido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Requisições totais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12.466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Falhas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0 (0%)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Tempo de resposta (mediana)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53 ms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95º percentil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87 ms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99º percentil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100 ms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Tempo médio de resposta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57,95 ms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Mínimo / Máximo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51 ms / 164 ms</w:t>
            </w:r>
          </w:p>
        </w:tc>
      </w:tr>
      <w:tr>
        <w:trPr/>
        <w:tc>
          <w:tcPr>
            <w:tcW w:w="3084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RPS (requisições por segundo)</w:t>
            </w:r>
          </w:p>
        </w:tc>
        <w:tc>
          <w:tcPr>
            <w:tcW w:w="161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490,8</w:t>
            </w:r>
          </w:p>
        </w:tc>
      </w:tr>
    </w:tbl>
    <w:p>
      <w:pPr>
        <w:pStyle w:val="Corpodetextofigbox"/>
        <w:bidi w:val="0"/>
        <w:rPr/>
      </w:pPr>
      <w:r>
        <w:rPr/>
        <w:drawing>
          <wp:inline distT="0" distB="0" distL="0" distR="0">
            <wp:extent cx="5944870" cy="1393190"/>
            <wp:effectExtent l="0" t="0" r="0" b="0"/>
            <wp:docPr id="6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870" cy="139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Figura 6 — Painel de estatísticas do Locust com o teste em execução (1000 usuários simultâneos, RPS de 490,8 e 0% de falhas), demonstrando que a calculadora escalada com 4 workers suportou a carga sem derrubar conexões.</w:t>
      </w:r>
    </w:p>
    <w:p>
      <w:pPr>
        <w:pStyle w:val="Heading3"/>
        <w:bidi w:val="0"/>
        <w:rPr/>
      </w:pPr>
      <w:r>
        <w:rPr/>
        <w:t>6. Análise dos Resultados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RPS (Requisições por segundo):</w:t>
      </w:r>
      <w:r>
        <w:rPr/>
        <w:t xml:space="preserve"> a arquitetura sustentou uma média de </w:t>
      </w:r>
      <w:r>
        <w:rPr>
          <w:b/>
        </w:rPr>
        <w:t>490,8 requisições por segundo</w:t>
      </w:r>
      <w:r>
        <w:rPr/>
        <w:t xml:space="preserve"> com 1000 usuários simultâneos, evidenciando o ganho de paralelismo obtido ao escalar a calculadora de 1 para 4 workers. Com apenas 1 worker, esse mesmo volume de usuários tenderia a gerar fila de espera e aumento expressivo da latência.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Response Times (Tempo de resposta):</w:t>
      </w:r>
      <w:r>
        <w:rPr/>
        <w:t xml:space="preserve"> a mediana de 53 ms e o 99º percentil de 100 ms mostram que, mesmo sob carga elevada, a grande maioria das requisições foi respondida rapidamente — resultado do processamento simulado no serviço somado ao paralelismo dos 4 workers.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Failed requests (Requisições falhas):</w:t>
      </w:r>
      <w:r>
        <w:rPr/>
        <w:t xml:space="preserve"> </w:t>
      </w:r>
      <w:r>
        <w:rPr>
          <w:b/>
        </w:rPr>
        <w:t>0% de falhas</w:t>
      </w:r>
      <w:r>
        <w:rPr/>
        <w:t xml:space="preserve"> em 12.466 requisições. Isso indica que, para o volume de carga testado, a arquitetura desacoplada (PaaS + FaaS) manteve-se estável, sem derrubar conexões. </w:t>
      </w:r>
    </w:p>
    <w:p>
      <w:pPr>
        <w:pStyle w:val="Heading3"/>
        <w:bidi w:val="0"/>
        <w:rPr/>
      </w:pPr>
      <w:r>
        <w:rPr/>
        <w:t>7. Conclusão</w:t>
      </w:r>
    </w:p>
    <w:p>
      <w:pPr>
        <w:pStyle w:val="BodyText"/>
        <w:bidi w:val="0"/>
        <w:rPr/>
      </w:pPr>
      <w:r>
        <w:rPr/>
        <w:t>O teste demonstrou, na prática, os benefícios da modernização da arquitetura: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Desacoplamento (PaaS + FaaS):</w:t>
      </w:r>
      <w:r>
        <w:rPr/>
        <w:t xml:space="preserve"> ao separar o site principal (Flask) da calculadora de nota de corte (FastAPI), cada parte passa a escalar e a ser monitorada de forma independente.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>
          <w:b/>
        </w:rPr>
        <w:t>Escalabilidade horizontal:</w:t>
      </w:r>
      <w:r>
        <w:rPr/>
        <w:t xml:space="preserve"> o aumento de 1 para 4 workers no microsserviço multiplicou a capacidade de atendimento, simulando o comportamento automático de escala de um provedor de nuvem real, como AWS Lambda ou Azure Functions.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b/>
        </w:rPr>
        <w:t>Resiliência ativa:</w:t>
      </w:r>
      <w:r>
        <w:rPr/>
        <w:t xml:space="preserve"> o uso do parâmetro </w:t>
      </w:r>
      <w:r>
        <w:rPr>
          <w:rStyle w:val="Teletipo"/>
        </w:rPr>
        <w:t>timeout=2.0</w:t>
      </w:r>
      <w:r>
        <w:rPr/>
        <w:t xml:space="preserve"> e o tratamento das exceções </w:t>
      </w:r>
      <w:r>
        <w:rPr>
          <w:rStyle w:val="Teletipo"/>
        </w:rPr>
        <w:t>Timeout</w:t>
      </w:r>
      <w:r>
        <w:rPr/>
        <w:t xml:space="preserve"> e </w:t>
      </w:r>
      <w:r>
        <w:rPr>
          <w:rStyle w:val="Teletipo"/>
        </w:rPr>
        <w:t>ConnectionError</w:t>
      </w:r>
      <w:r>
        <w:rPr/>
        <w:t xml:space="preserve"> no </w:t>
      </w:r>
      <w:r>
        <w:rPr>
          <w:rStyle w:val="Teletipo"/>
        </w:rPr>
        <w:t>app.py</w:t>
      </w:r>
      <w:r>
        <w:rPr/>
        <w:t xml:space="preserve"> garantem que, mesmo se a calculadora ficar lenta ou indisponível, o site principal continua respondendo ao usuário com uma mensagem amigável, em vez de travar em cascata. </w:t>
      </w:r>
    </w:p>
    <w:p>
      <w:pPr>
        <w:pStyle w:val="BodyText"/>
        <w:bidi w:val="0"/>
        <w:spacing w:before="0" w:after="180"/>
        <w:rPr/>
      </w:pPr>
      <w:r>
        <w:rPr/>
        <w:t>Esses resultados reforçam o conceito central da atividade: em um ambiente de nuvem moderno, a divisão de responsabilidades entre serviços — PaaS para a aplicação principal e FaaS para funções específicas — proporciona maior escalabilidade, resiliência e facilidade de manutenção quando comparada a uma arquitetura monolítica tradicional.</w:t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Liberation Serif;Times New Roman;serif" w:hAnsi="Liberation Serif;Times New Roman;serif" w:eastAsia="Liberation Serif;Times New Roman;serif" w:cs="Liberation Serif;Times New Roman;serif"/>
      <w:color w:val="auto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80"/>
      <w:jc w:val="center"/>
      <w:outlineLvl w:val="0"/>
    </w:pPr>
    <w:rPr>
      <w:rFonts w:ascii="Liberation Sans;Arial;sans-serif" w:hAnsi="Liberation Sans;Arial;sans-serif" w:eastAsia="Liberation Sans;Arial;sans-serif" w:cs="Liberation Sans;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00" w:after="360"/>
      <w:jc w:val="center"/>
      <w:outlineLvl w:val="1"/>
    </w:pPr>
    <w:rPr>
      <w:rFonts w:ascii="Liberation Sans;Arial;sans-serif" w:hAnsi="Liberation Sans;Arial;sans-serif" w:eastAsia="Liberation Sans;Arial;sans-serif" w:cs="Liberation Sans;Arial;sans-serif"/>
      <w:b w:val="false"/>
      <w:bCs w:val="false"/>
      <w:sz w:val="26"/>
      <w:szCs w:val="26"/>
    </w:rPr>
  </w:style>
  <w:style w:type="paragraph" w:styleId="Heading3">
    <w:name w:val="heading 3"/>
    <w:basedOn w:val="Ttulo"/>
    <w:next w:val="BodyText"/>
    <w:qFormat/>
    <w:pPr>
      <w:spacing w:before="400" w:after="120"/>
      <w:outlineLvl w:val="2"/>
    </w:pPr>
    <w:rPr>
      <w:rFonts w:ascii="Liberation Sans;Arial;sans-serif" w:hAnsi="Liberation Sans;Arial;sans-serif" w:eastAsia="Liberation Sans;Arial;sans-serif" w:cs="Liberation Sans;Arial;sans-serif"/>
      <w:b/>
      <w:bCs/>
      <w:sz w:val="25"/>
      <w:szCs w:val="25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Teletipo">
    <w:name w:val="Teletipo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rpodetextometa">
    <w:name w:val="Corpo de texto.meta"/>
    <w:basedOn w:val="BodyText"/>
    <w:qFormat/>
    <w:pPr>
      <w:spacing w:before="0" w:after="60"/>
      <w:jc w:val="center"/>
    </w:pPr>
    <w:rPr/>
  </w:style>
  <w:style w:type="paragraph" w:styleId="Corpodetextofig">
    <w:name w:val="Corpo de texto.fig"/>
    <w:basedOn w:val="BodyText"/>
    <w:qFormat/>
    <w:pPr>
      <w:spacing w:before="80" w:after="360"/>
      <w:jc w:val="center"/>
    </w:pPr>
    <w:rPr/>
  </w:style>
  <w:style w:type="paragraph" w:styleId="Corpodetextocap">
    <w:name w:val="Corpo de texto.cap"/>
    <w:basedOn w:val="BodyText"/>
    <w:qFormat/>
    <w:pPr>
      <w:spacing w:before="40" w:after="360"/>
      <w:jc w:val="center"/>
    </w:pPr>
    <w:rPr>
      <w:i/>
      <w:iCs/>
      <w:sz w:val="20"/>
      <w:szCs w:val="20"/>
    </w:rPr>
  </w:style>
  <w:style w:type="paragraph" w:styleId="Corpodetextofigbox">
    <w:name w:val="Corpo de texto.figbox"/>
    <w:basedOn w:val="BodyText"/>
    <w:qFormat/>
    <w:pPr>
      <w:keepLines/>
      <w:spacing w:before="200" w:after="360"/>
      <w:jc w:val="center"/>
    </w:pPr>
    <w:rPr>
      <w:i/>
      <w:iCs/>
      <w:sz w:val="20"/>
      <w:szCs w:val="20"/>
    </w:rPr>
  </w:style>
  <w:style w:type="paragraph" w:styleId="Textoprformatado">
    <w:name w:val="Texto préformatado"/>
    <w:basedOn w:val="Normal"/>
    <w:qFormat/>
    <w:pPr>
      <w:pBdr/>
      <w:shd w:fill="F2F2F2" w:val="clear"/>
      <w:spacing w:before="0" w:after="180"/>
    </w:pPr>
    <w:rPr>
      <w:rFonts w:ascii="Liberation Mono;Courier New;monospace" w:hAnsi="Liberation Mono;Courier New;monospace" w:eastAsia="Liberation Mono;Courier New;monospace" w:cs="Liberation Mono;Courier New;monospace"/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Relatorio ATV Nuvem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