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4079" w14:textId="77777777" w:rsidR="00FF3592" w:rsidRDefault="00000000">
      <w:pPr>
        <w:pStyle w:val="Title"/>
        <w:jc w:val="center"/>
      </w:pPr>
      <w:r>
        <w:rPr>
          <w:color w:val="16365C"/>
        </w:rPr>
        <w:t>Project Overview</w:t>
      </w:r>
      <w:r>
        <w:rPr>
          <w:color w:val="16365C"/>
        </w:rPr>
        <w:br/>
        <w:t>BC Hydro Vegetation–Weather Outage Risk Analytics</w:t>
      </w:r>
    </w:p>
    <w:p w14:paraId="306C4A2F" w14:textId="77777777" w:rsidR="00FF3592" w:rsidRDefault="00000000">
      <w:pPr>
        <w:jc w:val="center"/>
      </w:pPr>
      <w:r>
        <w:rPr>
          <w:i/>
          <w:sz w:val="21"/>
        </w:rPr>
        <w:t>Prepared to support internal planning for proof of concept, pilot delivery, and broader project execution</w:t>
      </w:r>
    </w:p>
    <w:p w14:paraId="4566B9F3" w14:textId="77777777" w:rsidR="00FF3592" w:rsidRDefault="00000000">
      <w:pPr>
        <w:pStyle w:val="Heading1"/>
      </w:pPr>
      <w:r>
        <w:t>1. Executive Summary</w:t>
      </w:r>
    </w:p>
    <w:p w14:paraId="10F8870E" w14:textId="77777777" w:rsidR="00FF3592" w:rsidRDefault="00000000">
      <w:r>
        <w:t>This project is intended to help BC Hydro improve storm readiness, outage prediction, and vegetation-risk prioritization by combining weather, vegetation, outage history, and network context into one operational analytics capability.</w:t>
      </w:r>
    </w:p>
    <w:p w14:paraId="2961ED84" w14:textId="77777777" w:rsidR="00FF3592" w:rsidRDefault="00000000">
      <w:r>
        <w:t>The recommended delivery path is phased. Phase 1 is a focused proof of concept to validate data integration, predictive usefulness, and operational relevance. If successful, Phase 2 expands into a business pilot with broader stakeholder use, repeatable data pipelines, and decision-support outputs. Phase 3 would be an operational scale-up that moves the capability toward a digital twin-style decision framework for weather, vegetation, network conditions, and outage risk.</w:t>
      </w:r>
    </w:p>
    <w:p w14:paraId="2CE1BB18" w14:textId="77777777" w:rsidR="00FF3592" w:rsidRDefault="00000000">
      <w:r>
        <w:t>This overview is intentionally focused on project scope, structure, timeline, roles, dependencies, and delivery shape. It does not address pricing or commercial terms.</w:t>
      </w:r>
    </w:p>
    <w:p w14:paraId="6AD34EE6" w14:textId="77777777" w:rsidR="00FF3592" w:rsidRDefault="00000000">
      <w:pPr>
        <w:pStyle w:val="Heading1"/>
      </w:pPr>
      <w:r>
        <w:t>2. Project Objective and Business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F3592" w14:paraId="782BB8C6" w14:textId="77777777">
        <w:trPr>
          <w:tblHeader/>
          <w:jc w:val="center"/>
        </w:trPr>
        <w:tc>
          <w:tcPr>
            <w:tcW w:w="4968" w:type="dxa"/>
            <w:shd w:val="clear" w:color="auto" w:fill="D9EAF7"/>
          </w:tcPr>
          <w:p w14:paraId="4786BCD3" w14:textId="77777777" w:rsidR="00FF3592" w:rsidRDefault="00000000">
            <w:r>
              <w:rPr>
                <w:b/>
              </w:rPr>
              <w:t>Area</w:t>
            </w:r>
          </w:p>
        </w:tc>
        <w:tc>
          <w:tcPr>
            <w:tcW w:w="4968" w:type="dxa"/>
            <w:shd w:val="clear" w:color="auto" w:fill="D9EAF7"/>
          </w:tcPr>
          <w:p w14:paraId="1706BA74" w14:textId="77777777" w:rsidR="00FF3592" w:rsidRDefault="00000000">
            <w:r>
              <w:rPr>
                <w:b/>
              </w:rPr>
              <w:t>Summary</w:t>
            </w:r>
          </w:p>
        </w:tc>
      </w:tr>
      <w:tr w:rsidR="00FF3592" w14:paraId="4C7B8FFD" w14:textId="77777777">
        <w:trPr>
          <w:jc w:val="center"/>
        </w:trPr>
        <w:tc>
          <w:tcPr>
            <w:tcW w:w="4968" w:type="dxa"/>
          </w:tcPr>
          <w:p w14:paraId="405C6C74" w14:textId="77777777" w:rsidR="00FF3592" w:rsidRDefault="00000000">
            <w:r>
              <w:t>Objective</w:t>
            </w:r>
          </w:p>
        </w:tc>
        <w:tc>
          <w:tcPr>
            <w:tcW w:w="4968" w:type="dxa"/>
          </w:tcPr>
          <w:p w14:paraId="34B986F7" w14:textId="77777777" w:rsidR="00FF3592" w:rsidRDefault="00000000">
            <w:r>
              <w:t>Create a practical analytics capability that identifies where weather and vegetation are most likely to cause outages, supports better pre-staging and operational response, and improves vegetation-related planning decisions.</w:t>
            </w:r>
          </w:p>
        </w:tc>
      </w:tr>
      <w:tr w:rsidR="00FF3592" w14:paraId="7D8D8169" w14:textId="77777777">
        <w:trPr>
          <w:jc w:val="center"/>
        </w:trPr>
        <w:tc>
          <w:tcPr>
            <w:tcW w:w="4968" w:type="dxa"/>
          </w:tcPr>
          <w:p w14:paraId="3B4FCA15" w14:textId="77777777" w:rsidR="00FF3592" w:rsidRDefault="00000000">
            <w:r>
              <w:t>Immediate value</w:t>
            </w:r>
          </w:p>
        </w:tc>
        <w:tc>
          <w:tcPr>
            <w:tcW w:w="4968" w:type="dxa"/>
          </w:tcPr>
          <w:p w14:paraId="7F08540D" w14:textId="77777777" w:rsidR="00FF3592" w:rsidRDefault="00000000">
            <w:r>
              <w:t>Improve 24–72 hour storm readiness, feeder or corridor risk visibility, and operational prioritization before and during storm events.</w:t>
            </w:r>
          </w:p>
        </w:tc>
      </w:tr>
      <w:tr w:rsidR="00FF3592" w14:paraId="2C35DC61" w14:textId="77777777">
        <w:trPr>
          <w:jc w:val="center"/>
        </w:trPr>
        <w:tc>
          <w:tcPr>
            <w:tcW w:w="4968" w:type="dxa"/>
          </w:tcPr>
          <w:p w14:paraId="38AAA1BD" w14:textId="77777777" w:rsidR="00FF3592" w:rsidRDefault="00000000">
            <w:r>
              <w:t>Longer-term value</w:t>
            </w:r>
          </w:p>
        </w:tc>
        <w:tc>
          <w:tcPr>
            <w:tcW w:w="4968" w:type="dxa"/>
          </w:tcPr>
          <w:p w14:paraId="050BAE99" w14:textId="77777777" w:rsidR="00FF3592" w:rsidRDefault="00000000">
            <w:r>
              <w:t>Support risk-based vegetation strategy, resilience investment decisions, and evolution toward a digital twin-style operational view of the network and environmental risk drivers.</w:t>
            </w:r>
          </w:p>
        </w:tc>
      </w:tr>
      <w:tr w:rsidR="003C1962" w14:paraId="4DC5E625" w14:textId="77777777">
        <w:trPr>
          <w:jc w:val="center"/>
        </w:trPr>
        <w:tc>
          <w:tcPr>
            <w:tcW w:w="4968" w:type="dxa"/>
          </w:tcPr>
          <w:p w14:paraId="21C3D236" w14:textId="615A19FB" w:rsidR="003C1962" w:rsidRDefault="00A621A0">
            <w:r w:rsidRPr="00A621A0">
              <w:t>Business-value indicators</w:t>
            </w:r>
          </w:p>
        </w:tc>
        <w:tc>
          <w:tcPr>
            <w:tcW w:w="4968" w:type="dxa"/>
          </w:tcPr>
          <w:p w14:paraId="70642AAB" w14:textId="1FC12ABA" w:rsidR="003C1962" w:rsidRDefault="000131C3">
            <w:r w:rsidRPr="000131C3">
              <w:t>Support future assessment of reliability and operational value through indicators such as SAIDI, SAIFI, CAIDI, customer interruption minutes, vegetation prioritization, restoration effort, crew staging, and resilience investment decisions.</w:t>
            </w:r>
          </w:p>
        </w:tc>
      </w:tr>
    </w:tbl>
    <w:p w14:paraId="295442F1" w14:textId="77777777" w:rsidR="00FF3592" w:rsidRDefault="00000000">
      <w:pPr>
        <w:pStyle w:val="Heading1"/>
      </w:pPr>
      <w:r>
        <w:lastRenderedPageBreak/>
        <w:t>3. Proposed Scope</w:t>
      </w:r>
    </w:p>
    <w:p w14:paraId="2098D8E4" w14:textId="77777777" w:rsidR="00FF3592" w:rsidRDefault="00000000">
      <w:pPr>
        <w:pStyle w:val="Heading2"/>
      </w:pPr>
      <w:r>
        <w:t>In scope</w:t>
      </w:r>
    </w:p>
    <w:p w14:paraId="22C5654B" w14:textId="77777777" w:rsidR="00FF3592" w:rsidRDefault="00000000">
      <w:pPr>
        <w:pStyle w:val="ListBullet"/>
      </w:pPr>
      <w:r>
        <w:t>Vegetation–weather outage risk as the primary use case</w:t>
      </w:r>
    </w:p>
    <w:p w14:paraId="09CBA625" w14:textId="77777777" w:rsidR="00FF3592" w:rsidRDefault="00000000">
      <w:pPr>
        <w:pStyle w:val="ListBullet"/>
      </w:pPr>
      <w:r>
        <w:t>Historical outage, weather, vegetation, and network data integration</w:t>
      </w:r>
    </w:p>
    <w:p w14:paraId="64B1A03F" w14:textId="77777777" w:rsidR="00FF3592" w:rsidRDefault="00000000">
      <w:pPr>
        <w:pStyle w:val="ListBullet"/>
      </w:pPr>
      <w:r>
        <w:t>Feeder-, circuit-, or corridor-level risk scoring based on available operational granularity</w:t>
      </w:r>
    </w:p>
    <w:p w14:paraId="0D5D83AE" w14:textId="77777777" w:rsidR="00FF3592" w:rsidRDefault="00000000">
      <w:pPr>
        <w:pStyle w:val="ListBullet"/>
      </w:pPr>
      <w:r>
        <w:t>Backtesting against historical storm events</w:t>
      </w:r>
    </w:p>
    <w:p w14:paraId="5791682D" w14:textId="77777777" w:rsidR="00FF3592" w:rsidRDefault="00000000">
      <w:pPr>
        <w:pStyle w:val="ListBullet"/>
      </w:pPr>
      <w:r>
        <w:t>Prototype decision-support outputs such as risk maps, ranked lists, and simple dashboards</w:t>
      </w:r>
    </w:p>
    <w:p w14:paraId="00566882" w14:textId="77777777" w:rsidR="00FF3592" w:rsidRDefault="00000000">
      <w:pPr>
        <w:pStyle w:val="Heading2"/>
      </w:pPr>
      <w:r>
        <w:t>Out of scope in early phases</w:t>
      </w:r>
    </w:p>
    <w:p w14:paraId="0DF3F4C2" w14:textId="77777777" w:rsidR="00FF3592" w:rsidRDefault="00000000">
      <w:pPr>
        <w:pStyle w:val="ListBullet"/>
      </w:pPr>
      <w:r>
        <w:t>Province-wide enterprise rollout</w:t>
      </w:r>
    </w:p>
    <w:p w14:paraId="63016C6D" w14:textId="77777777" w:rsidR="00FF3592" w:rsidRDefault="00000000">
      <w:pPr>
        <w:pStyle w:val="ListBullet"/>
      </w:pPr>
      <w:r>
        <w:t>Full real-time production integration across all systems</w:t>
      </w:r>
    </w:p>
    <w:p w14:paraId="48A97169" w14:textId="77777777" w:rsidR="00FF3592" w:rsidRDefault="00000000">
      <w:pPr>
        <w:pStyle w:val="ListBullet"/>
      </w:pPr>
      <w:r>
        <w:t>A complete grid-wide digital twin implementation from day one</w:t>
      </w:r>
    </w:p>
    <w:p w14:paraId="2770B711" w14:textId="77777777" w:rsidR="00FF3592" w:rsidRDefault="00000000">
      <w:pPr>
        <w:pStyle w:val="ListBullet"/>
      </w:pPr>
      <w:r>
        <w:t>Secondary use cases such as underground asset intelligence or momentary fault analytics as primary workstreams</w:t>
      </w:r>
    </w:p>
    <w:p w14:paraId="2A2BCC90" w14:textId="77777777" w:rsidR="00FF3592" w:rsidRDefault="00000000">
      <w:pPr>
        <w:pStyle w:val="Heading1"/>
      </w:pPr>
      <w:r>
        <w:t>4. Delivery Approach and Indicative Timeline</w:t>
      </w:r>
    </w:p>
    <w:p w14:paraId="6D536B6E" w14:textId="77777777" w:rsidR="00FF3592" w:rsidRDefault="00000000">
      <w:r>
        <w:rPr>
          <w:b/>
        </w:rPr>
        <w:t xml:space="preserve">Recommended overall approach: </w:t>
      </w:r>
    </w:p>
    <w:p w14:paraId="344D40DD" w14:textId="77777777" w:rsidR="00FF3592" w:rsidRDefault="00000000">
      <w:pPr>
        <w:pStyle w:val="ListBullet"/>
      </w:pPr>
      <w:r>
        <w:t>Phase 1 – Proof of Concept: validate feasibility, integration, predictive value, and operational relevance</w:t>
      </w:r>
    </w:p>
    <w:p w14:paraId="12BE3953" w14:textId="77777777" w:rsidR="00FF3592" w:rsidRDefault="00000000">
      <w:pPr>
        <w:pStyle w:val="ListBullet"/>
      </w:pPr>
      <w:r>
        <w:t>Phase 2 – Business Pilot: expand scope, improve repeatability, strengthen user workflows, and confirm stakeholder fit</w:t>
      </w:r>
    </w:p>
    <w:p w14:paraId="26A9F33B" w14:textId="77777777" w:rsidR="00FF3592" w:rsidRDefault="00000000">
      <w:pPr>
        <w:pStyle w:val="ListBullet"/>
      </w:pPr>
      <w:r>
        <w:t>Phase 3 – Scaled Implementation: productionize the capability, strengthen governance, and evolve toward a digital twin-style decision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F3592" w14:paraId="67EC85FD" w14:textId="77777777">
        <w:trPr>
          <w:tblHeader/>
          <w:jc w:val="center"/>
        </w:trPr>
        <w:tc>
          <w:tcPr>
            <w:tcW w:w="2484" w:type="dxa"/>
            <w:shd w:val="clear" w:color="auto" w:fill="D9EAF3"/>
          </w:tcPr>
          <w:p w14:paraId="60E4DC3F" w14:textId="77777777" w:rsidR="00FF3592" w:rsidRDefault="00000000">
            <w:r>
              <w:rPr>
                <w:b/>
              </w:rPr>
              <w:t>Phase</w:t>
            </w:r>
          </w:p>
        </w:tc>
        <w:tc>
          <w:tcPr>
            <w:tcW w:w="2484" w:type="dxa"/>
            <w:shd w:val="clear" w:color="auto" w:fill="D9EAD3"/>
          </w:tcPr>
          <w:p w14:paraId="46E25778" w14:textId="77777777" w:rsidR="00FF3592" w:rsidRDefault="00000000">
            <w:r>
              <w:rPr>
                <w:b/>
              </w:rPr>
              <w:t>Purpose</w:t>
            </w:r>
          </w:p>
        </w:tc>
        <w:tc>
          <w:tcPr>
            <w:tcW w:w="2484" w:type="dxa"/>
            <w:shd w:val="clear" w:color="auto" w:fill="D9EAF3"/>
          </w:tcPr>
          <w:p w14:paraId="744276B9" w14:textId="77777777" w:rsidR="00FF3592" w:rsidRDefault="00000000">
            <w:r>
              <w:rPr>
                <w:b/>
              </w:rPr>
              <w:t>Indicative Duration</w:t>
            </w:r>
          </w:p>
        </w:tc>
        <w:tc>
          <w:tcPr>
            <w:tcW w:w="2484" w:type="dxa"/>
            <w:shd w:val="clear" w:color="auto" w:fill="D9EAD3"/>
          </w:tcPr>
          <w:p w14:paraId="34D19922" w14:textId="77777777" w:rsidR="00FF3592" w:rsidRDefault="00000000">
            <w:r>
              <w:rPr>
                <w:b/>
              </w:rPr>
              <w:t>Typical Outputs</w:t>
            </w:r>
          </w:p>
        </w:tc>
      </w:tr>
      <w:tr w:rsidR="00FF3592" w14:paraId="02D034A1" w14:textId="77777777">
        <w:trPr>
          <w:jc w:val="center"/>
        </w:trPr>
        <w:tc>
          <w:tcPr>
            <w:tcW w:w="2484" w:type="dxa"/>
          </w:tcPr>
          <w:p w14:paraId="77DD368A" w14:textId="77777777" w:rsidR="00FF3592" w:rsidRDefault="00000000">
            <w:r>
              <w:t>Phase 1: PoC</w:t>
            </w:r>
          </w:p>
        </w:tc>
        <w:tc>
          <w:tcPr>
            <w:tcW w:w="2484" w:type="dxa"/>
          </w:tcPr>
          <w:p w14:paraId="7C824118" w14:textId="77777777" w:rsidR="00FF3592" w:rsidRDefault="00000000">
            <w:r>
              <w:t>Prove that pilot-region data can be integrated and used for meaningful storm-risk prediction.</w:t>
            </w:r>
          </w:p>
        </w:tc>
        <w:tc>
          <w:tcPr>
            <w:tcW w:w="2484" w:type="dxa"/>
          </w:tcPr>
          <w:p w14:paraId="2C082464" w14:textId="77777777" w:rsidR="00FF3592" w:rsidRDefault="00000000">
            <w:r>
              <w:t>10–12 weeks</w:t>
            </w:r>
            <w:r>
              <w:br/>
              <w:t>(allow up to 14 with data-access delays)</w:t>
            </w:r>
          </w:p>
        </w:tc>
        <w:tc>
          <w:tcPr>
            <w:tcW w:w="2484" w:type="dxa"/>
          </w:tcPr>
          <w:p w14:paraId="4F68CEBE" w14:textId="77777777" w:rsidR="00FF3592" w:rsidRDefault="00000000">
            <w:r>
              <w:t>Data inventory; integrated analytical dataset; baseline vs model comparison; historical backtesting; prototype dashboard or map; recommendation for next step</w:t>
            </w:r>
          </w:p>
        </w:tc>
      </w:tr>
      <w:tr w:rsidR="00FF3592" w14:paraId="50A9A918" w14:textId="77777777">
        <w:trPr>
          <w:jc w:val="center"/>
        </w:trPr>
        <w:tc>
          <w:tcPr>
            <w:tcW w:w="2484" w:type="dxa"/>
          </w:tcPr>
          <w:p w14:paraId="087FC3A8" w14:textId="77777777" w:rsidR="00FF3592" w:rsidRDefault="00000000">
            <w:r>
              <w:t>Phase 2: Pilot</w:t>
            </w:r>
          </w:p>
        </w:tc>
        <w:tc>
          <w:tcPr>
            <w:tcW w:w="2484" w:type="dxa"/>
          </w:tcPr>
          <w:p w14:paraId="2881BC3B" w14:textId="77777777" w:rsidR="00FF3592" w:rsidRDefault="00000000">
            <w:r>
              <w:t>Extend to a broader operating context with more users, better pipelines, and clearer operational playbooks.</w:t>
            </w:r>
          </w:p>
        </w:tc>
        <w:tc>
          <w:tcPr>
            <w:tcW w:w="2484" w:type="dxa"/>
          </w:tcPr>
          <w:p w14:paraId="141EF6BF" w14:textId="77777777" w:rsidR="00FF3592" w:rsidRDefault="00000000">
            <w:r>
              <w:t>3–6 months</w:t>
            </w:r>
          </w:p>
        </w:tc>
        <w:tc>
          <w:tcPr>
            <w:tcW w:w="2484" w:type="dxa"/>
          </w:tcPr>
          <w:p w14:paraId="02ECC762" w14:textId="77777777" w:rsidR="00FF3592" w:rsidRDefault="00000000">
            <w:r>
              <w:t>Improved data pipelines; broader regional coverage; user-tested decision support; KPI definition; pilot operating model</w:t>
            </w:r>
          </w:p>
        </w:tc>
      </w:tr>
      <w:tr w:rsidR="00FF3592" w14:paraId="702E7263" w14:textId="77777777">
        <w:trPr>
          <w:jc w:val="center"/>
        </w:trPr>
        <w:tc>
          <w:tcPr>
            <w:tcW w:w="2484" w:type="dxa"/>
          </w:tcPr>
          <w:p w14:paraId="17C8DF8B" w14:textId="77777777" w:rsidR="00FF3592" w:rsidRDefault="00000000">
            <w:r>
              <w:t>Phase 3: Scale-up</w:t>
            </w:r>
          </w:p>
        </w:tc>
        <w:tc>
          <w:tcPr>
            <w:tcW w:w="2484" w:type="dxa"/>
          </w:tcPr>
          <w:p w14:paraId="103493D1" w14:textId="77777777" w:rsidR="00FF3592" w:rsidRDefault="00000000">
            <w:r>
              <w:t>Operationalize the capability and connect it into broader planning and operational workflows.</w:t>
            </w:r>
          </w:p>
        </w:tc>
        <w:tc>
          <w:tcPr>
            <w:tcW w:w="2484" w:type="dxa"/>
          </w:tcPr>
          <w:p w14:paraId="4C1774DE" w14:textId="77777777" w:rsidR="00FF3592" w:rsidRDefault="00000000">
            <w:r>
              <w:t>6–12+ months</w:t>
            </w:r>
            <w:r>
              <w:br/>
              <w:t>(depending on integration scope)</w:t>
            </w:r>
          </w:p>
        </w:tc>
        <w:tc>
          <w:tcPr>
            <w:tcW w:w="2484" w:type="dxa"/>
          </w:tcPr>
          <w:p w14:paraId="3AEB4E7A" w14:textId="77777777" w:rsidR="00FF3592" w:rsidRDefault="00000000">
            <w:r>
              <w:t>Repeatable production workflows; governance model; expanded coverage; scenario analysis; digital twin-</w:t>
            </w:r>
            <w:r>
              <w:lastRenderedPageBreak/>
              <w:t>style operational view</w:t>
            </w:r>
          </w:p>
        </w:tc>
      </w:tr>
    </w:tbl>
    <w:p w14:paraId="40E73886" w14:textId="77777777" w:rsidR="00FF3592" w:rsidRDefault="00000000">
      <w:pPr>
        <w:pStyle w:val="Heading1"/>
      </w:pPr>
      <w:r>
        <w:lastRenderedPageBreak/>
        <w:t>5. Team Structure and Roles</w:t>
      </w:r>
    </w:p>
    <w:p w14:paraId="01705090" w14:textId="77777777" w:rsidR="00FF3592" w:rsidRDefault="00000000">
      <w:r>
        <w:t>The work should be delivered by a small cross-functional team rather than by a single specialist. For the proof of concept, several roles may be combined, but the capabilities below should be covered.</w:t>
      </w:r>
    </w:p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2104"/>
        <w:gridCol w:w="4701"/>
        <w:gridCol w:w="3347"/>
      </w:tblGrid>
      <w:tr w:rsidR="00A62808" w:rsidRPr="00A62808" w14:paraId="75DFEB4D" w14:textId="77777777" w:rsidTr="00A62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B988D39" w14:textId="77777777" w:rsidR="00A62808" w:rsidRPr="00A62808" w:rsidRDefault="00A62808" w:rsidP="00A6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266EB3BA" w14:textId="77777777" w:rsidR="00A62808" w:rsidRPr="00A62808" w:rsidRDefault="00A62808" w:rsidP="00A628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responsibilities</w:t>
            </w:r>
          </w:p>
        </w:tc>
        <w:tc>
          <w:tcPr>
            <w:tcW w:w="0" w:type="auto"/>
            <w:hideMark/>
          </w:tcPr>
          <w:p w14:paraId="7FF1AF52" w14:textId="77777777" w:rsidR="00A62808" w:rsidRPr="00A62808" w:rsidRDefault="00A62808" w:rsidP="00A628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A62808" w:rsidRPr="00A62808" w14:paraId="43A1A5D7" w14:textId="77777777" w:rsidTr="00A62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2D565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Scientist / ML Lead</w:t>
            </w:r>
          </w:p>
        </w:tc>
        <w:tc>
          <w:tcPr>
            <w:tcW w:w="0" w:type="auto"/>
            <w:hideMark/>
          </w:tcPr>
          <w:p w14:paraId="46D1573D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design, feature engineering, baseline and predictive models, evaluation, interpretation</w:t>
            </w:r>
          </w:p>
        </w:tc>
        <w:tc>
          <w:tcPr>
            <w:tcW w:w="0" w:type="auto"/>
            <w:hideMark/>
          </w:tcPr>
          <w:p w14:paraId="680C86F0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Core analytical role</w:t>
            </w:r>
          </w:p>
        </w:tc>
      </w:tr>
      <w:tr w:rsidR="00A62808" w:rsidRPr="00A62808" w14:paraId="471C9D8D" w14:textId="77777777" w:rsidTr="00A62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FE3A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Data Engineer / AI Developer</w:t>
            </w:r>
          </w:p>
        </w:tc>
        <w:tc>
          <w:tcPr>
            <w:tcW w:w="0" w:type="auto"/>
            <w:hideMark/>
          </w:tcPr>
          <w:p w14:paraId="361CB7BC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ingestion, cleaning, </w:t>
            </w:r>
            <w:proofErr w:type="gramStart"/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joins</w:t>
            </w:r>
            <w:proofErr w:type="gramEnd"/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, analytical dataset preparation, reusable scoring workflows, model packaging</w:t>
            </w:r>
          </w:p>
        </w:tc>
        <w:tc>
          <w:tcPr>
            <w:tcW w:w="0" w:type="auto"/>
            <w:hideMark/>
          </w:tcPr>
          <w:p w14:paraId="06C177C6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DE + AI developer responsibilities for lean PoC</w:t>
            </w:r>
          </w:p>
        </w:tc>
      </w:tr>
      <w:tr w:rsidR="00A62808" w:rsidRPr="00A62808" w14:paraId="08318B1B" w14:textId="77777777" w:rsidTr="00A62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51406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Analyst</w:t>
            </w:r>
          </w:p>
        </w:tc>
        <w:tc>
          <w:tcPr>
            <w:tcW w:w="0" w:type="auto"/>
            <w:hideMark/>
          </w:tcPr>
          <w:p w14:paraId="1C6DEFF1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Requirements, workflow discovery, success criteria, stakeholder needs, business-value framing, SAIDI / SAIFI / CAIDI context</w:t>
            </w:r>
          </w:p>
        </w:tc>
        <w:tc>
          <w:tcPr>
            <w:tcW w:w="0" w:type="auto"/>
            <w:hideMark/>
          </w:tcPr>
          <w:p w14:paraId="409AA826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 now because financial and reliability value are part of the discussion</w:t>
            </w:r>
          </w:p>
        </w:tc>
      </w:tr>
      <w:tr w:rsidR="00A62808" w:rsidRPr="00A62808" w14:paraId="0EB83337" w14:textId="77777777" w:rsidTr="00A62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2415B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GIS / Geospatial Specialist</w:t>
            </w:r>
          </w:p>
        </w:tc>
        <w:tc>
          <w:tcPr>
            <w:tcW w:w="0" w:type="auto"/>
            <w:hideMark/>
          </w:tcPr>
          <w:p w14:paraId="248222E4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Spatial alignment, corridor/feeder logic, geospatial feature engineering, spatial validation</w:t>
            </w:r>
          </w:p>
        </w:tc>
        <w:tc>
          <w:tcPr>
            <w:tcW w:w="0" w:type="auto"/>
            <w:hideMark/>
          </w:tcPr>
          <w:p w14:paraId="2F814EC9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because the use case is location-dependent</w:t>
            </w:r>
          </w:p>
        </w:tc>
      </w:tr>
      <w:tr w:rsidR="00A62808" w:rsidRPr="00A62808" w14:paraId="2830C526" w14:textId="77777777" w:rsidTr="00A62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16F51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/ Front-End Developer</w:t>
            </w:r>
          </w:p>
        </w:tc>
        <w:tc>
          <w:tcPr>
            <w:tcW w:w="0" w:type="auto"/>
            <w:hideMark/>
          </w:tcPr>
          <w:p w14:paraId="256841F5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 dashboard, map views, ranking tables, user-facing outputs</w:t>
            </w:r>
          </w:p>
        </w:tc>
        <w:tc>
          <w:tcPr>
            <w:tcW w:w="0" w:type="auto"/>
            <w:hideMark/>
          </w:tcPr>
          <w:p w14:paraId="2BB70B14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Needed for reviewable PoC outputs</w:t>
            </w:r>
          </w:p>
        </w:tc>
      </w:tr>
      <w:tr w:rsidR="00A62808" w:rsidRPr="00A62808" w14:paraId="2312C163" w14:textId="77777777" w:rsidTr="00A62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81632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QA / Test Support</w:t>
            </w:r>
          </w:p>
        </w:tc>
        <w:tc>
          <w:tcPr>
            <w:tcW w:w="0" w:type="auto"/>
            <w:hideMark/>
          </w:tcPr>
          <w:p w14:paraId="3B4882BC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validation, output consistency checks, traceability, scenario testing</w:t>
            </w:r>
          </w:p>
        </w:tc>
        <w:tc>
          <w:tcPr>
            <w:tcW w:w="0" w:type="auto"/>
            <w:hideMark/>
          </w:tcPr>
          <w:p w14:paraId="67CC48D3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Part-time but useful</w:t>
            </w:r>
          </w:p>
        </w:tc>
      </w:tr>
      <w:tr w:rsidR="00A62808" w:rsidRPr="00A62808" w14:paraId="3DAD5AA1" w14:textId="77777777" w:rsidTr="00A62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1BAAC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 / Delivery Lead</w:t>
            </w:r>
          </w:p>
        </w:tc>
        <w:tc>
          <w:tcPr>
            <w:tcW w:w="0" w:type="auto"/>
            <w:hideMark/>
          </w:tcPr>
          <w:p w14:paraId="6EB32BCD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Scope, schedule, risks, stakeholder coordination, governance</w:t>
            </w:r>
          </w:p>
        </w:tc>
        <w:tc>
          <w:tcPr>
            <w:tcW w:w="0" w:type="auto"/>
            <w:hideMark/>
          </w:tcPr>
          <w:p w14:paraId="6AA45713" w14:textId="77777777" w:rsidR="00A62808" w:rsidRPr="00A62808" w:rsidRDefault="00A62808" w:rsidP="00A628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Keeps delivery controlled</w:t>
            </w:r>
          </w:p>
        </w:tc>
      </w:tr>
      <w:tr w:rsidR="00A62808" w:rsidRPr="00A62808" w14:paraId="0FE8EC49" w14:textId="77777777" w:rsidTr="00A628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AAD74" w14:textId="77777777" w:rsidR="00A62808" w:rsidRPr="00A62808" w:rsidRDefault="00A62808" w:rsidP="00A628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Utility SME / Business Stakeholder</w:t>
            </w:r>
          </w:p>
        </w:tc>
        <w:tc>
          <w:tcPr>
            <w:tcW w:w="0" w:type="auto"/>
            <w:hideMark/>
          </w:tcPr>
          <w:p w14:paraId="035D0240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validation, workflow context, success criteria, review of outputs</w:t>
            </w:r>
          </w:p>
        </w:tc>
        <w:tc>
          <w:tcPr>
            <w:tcW w:w="0" w:type="auto"/>
            <w:hideMark/>
          </w:tcPr>
          <w:p w14:paraId="222C1330" w14:textId="77777777" w:rsidR="00A62808" w:rsidRPr="00A62808" w:rsidRDefault="00A62808" w:rsidP="00A628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A628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BC Hydro participation</w:t>
            </w:r>
          </w:p>
        </w:tc>
      </w:tr>
    </w:tbl>
    <w:p w14:paraId="721ED34F" w14:textId="77777777" w:rsidR="00FF3592" w:rsidRDefault="00000000">
      <w:pPr>
        <w:pStyle w:val="Heading1"/>
      </w:pPr>
      <w:r>
        <w:t>6. Dependencies, Risks, and Assumptions</w:t>
      </w:r>
    </w:p>
    <w:p w14:paraId="239D724A" w14:textId="77777777" w:rsidR="00FF3592" w:rsidRDefault="00000000">
      <w:pPr>
        <w:pStyle w:val="Heading2"/>
      </w:pPr>
      <w:r>
        <w:t>Key dependencies</w:t>
      </w:r>
    </w:p>
    <w:p w14:paraId="6A364CA2" w14:textId="77777777" w:rsidR="00FF3592" w:rsidRDefault="00000000">
      <w:pPr>
        <w:pStyle w:val="ListBullet"/>
      </w:pPr>
      <w:r>
        <w:t>Confirmation of pilot region and operational use case</w:t>
      </w:r>
    </w:p>
    <w:p w14:paraId="4026D531" w14:textId="77777777" w:rsidR="00FF3592" w:rsidRDefault="00000000">
      <w:pPr>
        <w:pStyle w:val="ListBullet"/>
      </w:pPr>
      <w:r>
        <w:t>Access to required outage, weather, vegetation, and network data</w:t>
      </w:r>
    </w:p>
    <w:p w14:paraId="2CCD99AF" w14:textId="77777777" w:rsidR="00FF3592" w:rsidRDefault="00000000">
      <w:pPr>
        <w:pStyle w:val="ListBullet"/>
      </w:pPr>
      <w:r>
        <w:t>Availability of useful join keys and sufficient operational granularity</w:t>
      </w:r>
    </w:p>
    <w:p w14:paraId="668DA317" w14:textId="77777777" w:rsidR="00FF3592" w:rsidRDefault="00000000">
      <w:pPr>
        <w:pStyle w:val="ListBullet"/>
      </w:pPr>
      <w:r>
        <w:t>Business stakeholder participation for validation and feedback</w:t>
      </w:r>
    </w:p>
    <w:p w14:paraId="62B6A55C" w14:textId="77777777" w:rsidR="00FF3592" w:rsidRDefault="00000000">
      <w:pPr>
        <w:pStyle w:val="Heading2"/>
      </w:pPr>
      <w:r>
        <w:t>Main risks</w:t>
      </w:r>
    </w:p>
    <w:p w14:paraId="13F2ABDE" w14:textId="77777777" w:rsidR="00FF3592" w:rsidRDefault="00000000">
      <w:pPr>
        <w:pStyle w:val="ListBullet"/>
      </w:pPr>
      <w:r>
        <w:t>Data quality or structure may vary across sources and systems</w:t>
      </w:r>
    </w:p>
    <w:p w14:paraId="5FB81746" w14:textId="77777777" w:rsidR="00FF3592" w:rsidRDefault="00000000">
      <w:pPr>
        <w:pStyle w:val="ListBullet"/>
      </w:pPr>
      <w:r>
        <w:t>Historical forecast data may be incomplete or require proxy treatment</w:t>
      </w:r>
    </w:p>
    <w:p w14:paraId="3461B80A" w14:textId="77777777" w:rsidR="00FF3592" w:rsidRDefault="00000000">
      <w:pPr>
        <w:pStyle w:val="ListBullet"/>
      </w:pPr>
      <w:r>
        <w:t>Vegetation records may differ in detail and quality by region</w:t>
      </w:r>
    </w:p>
    <w:p w14:paraId="23DE28C8" w14:textId="77777777" w:rsidR="00FF3592" w:rsidRDefault="00000000">
      <w:pPr>
        <w:pStyle w:val="ListBullet"/>
      </w:pPr>
      <w:r>
        <w:t>Operational usefulness must be validated with end users, not only through model metrics</w:t>
      </w:r>
    </w:p>
    <w:p w14:paraId="1CCF4FA2" w14:textId="77777777" w:rsidR="00FF3592" w:rsidRDefault="00000000">
      <w:pPr>
        <w:pStyle w:val="Heading2"/>
      </w:pPr>
      <w:r>
        <w:lastRenderedPageBreak/>
        <w:t>Working assumptions</w:t>
      </w:r>
    </w:p>
    <w:p w14:paraId="582EBE8F" w14:textId="77777777" w:rsidR="00FF3592" w:rsidRDefault="00000000">
      <w:pPr>
        <w:pStyle w:val="ListBullet"/>
      </w:pPr>
      <w:r>
        <w:t>A PoC is intended to prove feasibility and business value, not solve the full enterprise problem</w:t>
      </w:r>
    </w:p>
    <w:p w14:paraId="14516372" w14:textId="77777777" w:rsidR="00FF3592" w:rsidRDefault="00000000">
      <w:pPr>
        <w:pStyle w:val="ListBullet"/>
      </w:pPr>
      <w:r>
        <w:t>A lean cross-functional team is available for the pilot period</w:t>
      </w:r>
    </w:p>
    <w:p w14:paraId="1160CAAF" w14:textId="77777777" w:rsidR="00FF3592" w:rsidRDefault="00000000">
      <w:pPr>
        <w:pStyle w:val="ListBullet"/>
      </w:pPr>
      <w:r>
        <w:t>Success criteria are agreed before technical work begins</w:t>
      </w:r>
    </w:p>
    <w:p w14:paraId="494C4CE0" w14:textId="77777777" w:rsidR="00FF3592" w:rsidRDefault="00000000">
      <w:pPr>
        <w:pStyle w:val="Heading1"/>
      </w:pPr>
      <w:r>
        <w:t>7. Success Criteria and Next Steps</w:t>
      </w:r>
    </w:p>
    <w:p w14:paraId="0F2E1B26" w14:textId="77777777" w:rsidR="00FF3592" w:rsidRDefault="00000000">
      <w:pPr>
        <w:pStyle w:val="ListBullet"/>
      </w:pPr>
      <w:r>
        <w:t>Core pilot data sources can be integrated at useful operational granularity</w:t>
      </w:r>
    </w:p>
    <w:p w14:paraId="76D43840" w14:textId="77777777" w:rsidR="00FF3592" w:rsidRDefault="00000000">
      <w:pPr>
        <w:pStyle w:val="ListBullet"/>
      </w:pPr>
      <w:r>
        <w:t>Model outputs identify elevated outage risk more effectively than simple baseline rules</w:t>
      </w:r>
    </w:p>
    <w:p w14:paraId="467ED8F9" w14:textId="77777777" w:rsidR="00FF3592" w:rsidRDefault="00000000">
      <w:pPr>
        <w:pStyle w:val="ListBullet"/>
      </w:pPr>
      <w:r>
        <w:t>Outputs are interpretable and useful for operations and planning stakeholders</w:t>
      </w:r>
    </w:p>
    <w:p w14:paraId="0B56ADB0" w14:textId="77777777" w:rsidR="00FF3592" w:rsidRDefault="00000000">
      <w:pPr>
        <w:pStyle w:val="ListBullet"/>
      </w:pPr>
      <w:r>
        <w:t>A credible path exists from PoC to broader pilot and scaled implementation</w:t>
      </w:r>
    </w:p>
    <w:p w14:paraId="1751FBA0" w14:textId="77777777" w:rsidR="00FF3592" w:rsidRDefault="00000000">
      <w:r>
        <w:rPr>
          <w:b/>
        </w:rPr>
        <w:t xml:space="preserve">Recommended next step: </w:t>
      </w:r>
      <w:r>
        <w:t>Confirm the pilot region, identify data owners, align on success criteria, and decide the lean delivery team needed to start Phase 1.</w:t>
      </w:r>
    </w:p>
    <w:sectPr w:rsidR="00FF359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338920">
    <w:abstractNumId w:val="8"/>
  </w:num>
  <w:num w:numId="2" w16cid:durableId="1747801558">
    <w:abstractNumId w:val="6"/>
  </w:num>
  <w:num w:numId="3" w16cid:durableId="1474718991">
    <w:abstractNumId w:val="5"/>
  </w:num>
  <w:num w:numId="4" w16cid:durableId="356277065">
    <w:abstractNumId w:val="4"/>
  </w:num>
  <w:num w:numId="5" w16cid:durableId="110591164">
    <w:abstractNumId w:val="7"/>
  </w:num>
  <w:num w:numId="6" w16cid:durableId="1400446865">
    <w:abstractNumId w:val="3"/>
  </w:num>
  <w:num w:numId="7" w16cid:durableId="168251699">
    <w:abstractNumId w:val="2"/>
  </w:num>
  <w:num w:numId="8" w16cid:durableId="497695921">
    <w:abstractNumId w:val="1"/>
  </w:num>
  <w:num w:numId="9" w16cid:durableId="43170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C3"/>
    <w:rsid w:val="00034616"/>
    <w:rsid w:val="00055628"/>
    <w:rsid w:val="0006063C"/>
    <w:rsid w:val="0015074B"/>
    <w:rsid w:val="00244301"/>
    <w:rsid w:val="0029639D"/>
    <w:rsid w:val="00326F90"/>
    <w:rsid w:val="003C1962"/>
    <w:rsid w:val="003D4DBC"/>
    <w:rsid w:val="0077203B"/>
    <w:rsid w:val="00A621A0"/>
    <w:rsid w:val="00A62808"/>
    <w:rsid w:val="00AA1D8D"/>
    <w:rsid w:val="00B47730"/>
    <w:rsid w:val="00CB0664"/>
    <w:rsid w:val="00FC693F"/>
    <w:rsid w:val="00F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FBF25"/>
  <w14:defaultImageDpi w14:val="300"/>
  <w15:docId w15:val="{F667CB46-381A-4E44-9B80-B1AD509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6">
    <w:name w:val="Grid Table 1 Light Accent 6"/>
    <w:basedOn w:val="TableNormal"/>
    <w:uiPriority w:val="46"/>
    <w:rsid w:val="00A6280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6">
    <w:name w:val="List Table 3 Accent 6"/>
    <w:basedOn w:val="TableNormal"/>
    <w:uiPriority w:val="48"/>
    <w:rsid w:val="00A62808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936</Words>
  <Characters>5937</Characters>
  <Application>Microsoft Office Word</Application>
  <DocSecurity>0</DocSecurity>
  <Lines>191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Sobchenko, Anastasiia</cp:lastModifiedBy>
  <cp:revision>8</cp:revision>
  <dcterms:created xsi:type="dcterms:W3CDTF">2013-12-23T23:15:00Z</dcterms:created>
  <dcterms:modified xsi:type="dcterms:W3CDTF">2026-05-07T18:23:00Z</dcterms:modified>
  <cp:category/>
</cp:coreProperties>
</file>