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rFonts w:ascii="Times New Roman" w:cs="Times New Roman" w:eastAsia="Times New Roman" w:hAnsi="Times New Roman"/>
          <w:b/>
          <w:bCs/>
          <w:sz w:val="32"/>
          <w:szCs w:val="32"/>
        </w:rPr>
        <w:t xml:space="preserve">Structural Barriers to HIV Prevention Among People Who Inject Drugs:</w:t>
      </w:r>
    </w:p>
    <w:p>
      <w:pPr>
        <w:spacing w:after="600"/>
        <w:jc w:val="center"/>
      </w:pPr>
      <w:r>
        <w:rPr>
          <w:rFonts w:ascii="Times New Roman" w:cs="Times New Roman" w:eastAsia="Times New Roman" w:hAnsi="Times New Roman"/>
          <w:b/>
          <w:bCs/>
          <w:sz w:val="32"/>
          <w:szCs w:val="32"/>
        </w:rPr>
        <w:t xml:space="preserve">A Monte Carlo Analysis of Cascade Failure, Stochastic Avoidance, and Outbreak Risk</w:t>
      </w:r>
    </w:p>
    <w:p>
      <w:pPr>
        <w:spacing w:after="400"/>
      </w:pPr>
    </w:p>
    <w:p>
      <w:pPr>
        <w:spacing w:after="200"/>
        <w:jc w:val="center"/>
      </w:pPr>
      <w:r>
        <w:rPr>
          <w:rFonts w:ascii="Times New Roman" w:cs="Times New Roman" w:eastAsia="Times New Roman" w:hAnsi="Times New Roman"/>
          <w:sz w:val="24"/>
          <w:szCs w:val="24"/>
        </w:rPr>
        <w:t xml:space="preserve">AC Demidont, DO</w:t>
      </w:r>
    </w:p>
    <w:p>
      <w:pPr>
        <w:spacing w:after="200"/>
        <w:jc w:val="center"/>
      </w:pPr>
      <w:r>
        <w:rPr>
          <w:rFonts w:ascii="Times New Roman" w:cs="Times New Roman" w:eastAsia="Times New Roman" w:hAnsi="Times New Roman"/>
          <w:sz w:val="24"/>
          <w:szCs w:val="24"/>
        </w:rPr>
        <w:t xml:space="preserve">Nyx Dynamics LLC</w:t>
      </w:r>
    </w:p>
    <w:p>
      <w:pPr>
        <w:spacing w:after="600"/>
        <w:jc w:val="center"/>
      </w:pPr>
      <w:r>
        <w:rPr>
          <w:rFonts w:ascii="Times New Roman" w:cs="Times New Roman" w:eastAsia="Times New Roman" w:hAnsi="Times New Roman"/>
          <w:sz w:val="24"/>
          <w:szCs w:val="24"/>
        </w:rPr>
        <w:t xml:space="preserve">Hartford, Connecticut, USA</w:t>
      </w:r>
    </w:p>
    <w:p>
      <w:pPr>
        <w:spacing w:after="200"/>
        <w:jc w:val="center"/>
      </w:pPr>
      <w:r>
        <w:rPr>
          <w:rFonts w:ascii="Times New Roman" w:cs="Times New Roman" w:eastAsia="Times New Roman" w:hAnsi="Times New Roman"/>
          <w:b/>
          <w:bCs/>
          <w:sz w:val="24"/>
          <w:szCs w:val="24"/>
        </w:rPr>
        <w:t xml:space="preserve">Corresponding Author: </w:t>
      </w:r>
      <w:r>
        <w:rPr>
          <w:rFonts w:ascii="Times New Roman" w:cs="Times New Roman" w:eastAsia="Times New Roman" w:hAnsi="Times New Roman"/>
          <w:sz w:val="24"/>
          <w:szCs w:val="24"/>
        </w:rPr>
        <w:t xml:space="preserve">AC Demidont, DO</w:t>
      </w:r>
    </w:p>
    <w:p>
      <w:pPr>
        <w:spacing w:after="200"/>
        <w:jc w:val="center"/>
      </w:pPr>
      <w:r>
        <w:rPr>
          <w:rFonts w:ascii="Times New Roman" w:cs="Times New Roman" w:eastAsia="Times New Roman" w:hAnsi="Times New Roman"/>
          <w:sz w:val="24"/>
          <w:szCs w:val="24"/>
        </w:rPr>
        <w:t xml:space="preserve">Email: research@nyxdynamics.com</w:t>
      </w:r>
    </w:p>
    <w:p>
      <w:pPr>
        <w:spacing w:after="400"/>
      </w:pPr>
    </w:p>
    <w:p>
      <w:pPr>
        <w:jc w:val="center"/>
      </w:pPr>
      <w:r>
        <w:rPr>
          <w:rFonts w:ascii="Times New Roman" w:cs="Times New Roman" w:eastAsia="Times New Roman" w:hAnsi="Times New Roman"/>
          <w:b/>
          <w:bCs/>
          <w:sz w:val="24"/>
          <w:szCs w:val="24"/>
        </w:rPr>
        <w:t xml:space="preserve">Word Count: </w:t>
      </w:r>
      <w:r>
        <w:rPr>
          <w:rFonts w:ascii="Times New Roman" w:cs="Times New Roman" w:eastAsia="Times New Roman" w:hAnsi="Times New Roman"/>
          <w:sz w:val="24"/>
          <w:szCs w:val="24"/>
        </w:rPr>
        <w:t xml:space="preserve">~4,500 (excluding abstract, tables, figures, references)</w:t>
      </w:r>
    </w:p>
    <w:p>
      <w:pPr>
        <w:jc w:val="center"/>
      </w:pPr>
      <w:r>
        <w:rPr>
          <w:rFonts w:ascii="Times New Roman" w:cs="Times New Roman" w:eastAsia="Times New Roman" w:hAnsi="Times New Roman"/>
          <w:b/>
          <w:bCs/>
          <w:sz w:val="24"/>
          <w:szCs w:val="24"/>
        </w:rPr>
        <w:t xml:space="preserve">Tables: </w:t>
      </w:r>
      <w:r>
        <w:rPr>
          <w:rFonts w:ascii="Times New Roman" w:cs="Times New Roman" w:eastAsia="Times New Roman" w:hAnsi="Times New Roman"/>
          <w:sz w:val="24"/>
          <w:szCs w:val="24"/>
        </w:rPr>
        <w:t xml:space="preserve">2 | </w:t>
      </w:r>
      <w:r>
        <w:rPr>
          <w:rFonts w:ascii="Times New Roman" w:cs="Times New Roman" w:eastAsia="Times New Roman" w:hAnsi="Times New Roman"/>
          <w:b/>
          <w:bCs/>
          <w:sz w:val="24"/>
          <w:szCs w:val="24"/>
        </w:rPr>
        <w:t xml:space="preserve">Figures: </w:t>
      </w:r>
      <w:r>
        <w:rPr>
          <w:rFonts w:ascii="Times New Roman" w:cs="Times New Roman" w:eastAsia="Times New Roman" w:hAnsi="Times New Roman"/>
          <w:sz w:val="24"/>
          <w:szCs w:val="24"/>
        </w:rPr>
        <w:t xml:space="preserve">5 | </w:t>
      </w:r>
      <w:r>
        <w:rPr>
          <w:rFonts w:ascii="Times New Roman" w:cs="Times New Roman" w:eastAsia="Times New Roman" w:hAnsi="Times New Roman"/>
          <w:b/>
          <w:bCs/>
          <w:sz w:val="24"/>
          <w:szCs w:val="24"/>
        </w:rPr>
        <w:t xml:space="preserve">Online Resources: </w:t>
      </w:r>
      <w:r>
        <w:rPr>
          <w:rFonts w:ascii="Times New Roman" w:cs="Times New Roman" w:eastAsia="Times New Roman" w:hAnsi="Times New Roman"/>
          <w:sz w:val="24"/>
          <w:szCs w:val="24"/>
        </w:rPr>
        <w:t xml:space="preserve">3</w:t>
      </w:r>
    </w:p>
    <w:p>
      <w:r>
        <w:br w:type="page"/>
      </w:r>
    </w:p>
    <w:p>
      <w:pPr>
        <w:pStyle w:val="Heading1"/>
      </w:pPr>
      <w:r>
        <w:rPr>
          <w:rFonts w:ascii="Times New Roman" w:cs="Times New Roman" w:eastAsia="Times New Roman" w:hAnsi="Times New Roman"/>
          <w:b/>
          <w:bCs/>
          <w:sz w:val="28"/>
          <w:szCs w:val="28"/>
        </w:rPr>
        <w:t xml:space="preserve">Abstract</w:t>
      </w:r>
    </w:p>
    <w:p>
      <w:pPr>
        <w:spacing w:line="480" w:after="200"/>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Despite highly efficacious long-acting injectable pre-exposure prophylaxis (LAI-PrEP) achieving &gt;99% efficacy in clinical trials, people who inject drugs (PWID) experience near-zero population-level HIV prevention effectiveness. We hypothesized that nested structural barriers, not pharmacological limitations, explain this disparity.</w:t>
      </w:r>
    </w:p>
    <w:p>
      <w:pPr>
        <w:spacing w:line="480" w:after="200"/>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We developed a Monte Carlo simulation modeling an 8-step LAI-PrEP cascade for PWID under current U.S. policy conditions (n=100,000 per scenario). We decomposed barriers into three layers: pathogen biology, HIV testing gaps, and architectural barriers (policy, stigma, infrastructure, research exclusion, algorithmic deprioritization). We compared PWID outcomes to men who have sex with men (MSM) receiving identical pharmacological interventions and modeled stochastic avoidance failure using network density dynamics.</w:t>
      </w:r>
    </w:p>
    <w:p>
      <w:pPr>
        <w:spacing w:line="480" w:after="200"/>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Under current policy, PWID achieved P(R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 = 0.003% (95% CI: 0.000-0.006%) compared to 16.3% for MSM—a 5,434-fold disparity. Architectural barriers accounted for 93.2% of cascade failure (policy 38.4%, infrastructure 21.9%, stigma 20.6%, algorithmic bias 8.2%, research exclusion 4.1%), while HIV testing gaps contributed 6.8%. Even theoretical maximum intervention achieved only 19.7% effectiveness. Stochastic avoidance modeling predicted 63.3% probability of major outbreak within 5 years (median: 4.0 years).</w:t>
      </w:r>
    </w:p>
    <w:p>
      <w:pPr>
        <w:spacing w:line="480" w:after="200"/>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Current HIV prevention for PWID relies on probability rather than intervention. Structural barriers—particularly criminalization and MSM-centric infrastructure—create conditions where effective prevention is mathematically impossible regardless of drug efficacy. Policy reform addressing these architectural barriers is essential to prevent predictable outbreaks.</w:t>
      </w:r>
    </w:p>
    <w:p>
      <w:pPr>
        <w:spacing w:line="480" w:after="4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HIV prevention; people who inject drugs; PrEP; health disparities; structural barriers; Monte Carlo simulation; harm reduction</w:t>
      </w:r>
    </w:p>
    <w:p>
      <w:r>
        <w:br w:type="page"/>
      </w:r>
    </w:p>
    <w:p>
      <w:pPr>
        <w:pStyle w:val="Heading1"/>
      </w:pPr>
      <w:r>
        <w:rPr>
          <w:rFonts w:ascii="Times New Roman" w:cs="Times New Roman" w:eastAsia="Times New Roman" w:hAnsi="Times New Roman"/>
          <w:b/>
          <w:bCs/>
          <w:sz w:val="28"/>
          <w:szCs w:val="28"/>
        </w:rPr>
        <w:t xml:space="preserve">Introduction</w:t>
      </w:r>
    </w:p>
    <w:p>
      <w:pPr>
        <w:spacing w:line="480" w:after="200"/>
      </w:pPr>
      <w:r>
        <w:rPr>
          <w:rFonts w:ascii="Times New Roman" w:cs="Times New Roman" w:eastAsia="Times New Roman" w:hAnsi="Times New Roman"/>
          <w:sz w:val="24"/>
          <w:szCs w:val="24"/>
        </w:rPr>
        <w:t xml:space="preserve">The introduction of long-acting injectable pre-exposure prophylaxis (LAI-PrEP) represents a major advance in HIV prevention, with lenacapavir demonstrating &gt;99% efficacy in the PURPOSE-2 trial.</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Yet people who inject drugs (PWID) remain largely excluded from these benefits. Despite comprising approximately 3.5 million individuals in the United States and experiencing HIV prevalence rates of 17.8% globally,</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PWID oral PrEP uptake remains below 1.5%.</w:t>
      </w:r>
      <w:r>
        <w:rPr>
          <w:rFonts w:ascii="Times New Roman" w:cs="Times New Roman" w:eastAsia="Times New Roman" w:hAnsi="Times New Roman"/>
          <w:sz w:val="24"/>
          <w:szCs w:val="24"/>
          <w:vertAlign w:val="superscript"/>
        </w:rPr>
        <w:t xml:space="preserve">3</w:t>
      </w:r>
    </w:p>
    <w:p>
      <w:pPr>
        <w:spacing w:line="480" w:after="200"/>
      </w:pPr>
      <w:r>
        <w:rPr>
          <w:rFonts w:ascii="Times New Roman" w:cs="Times New Roman" w:eastAsia="Times New Roman" w:hAnsi="Times New Roman"/>
          <w:sz w:val="24"/>
          <w:szCs w:val="24"/>
        </w:rPr>
        <w:t xml:space="preserve">This disparity cannot be attributed to pharmacological factors. When the same drugs are administered to different populations, identical molecular mechanisms should produce equivalent outcomes. The observation that men who have sex with men (MSM) achieve population-level prevention rates exceeding 16% while PWID remain near zero suggests that non-pharmacological factors dominate outcomes.</w:t>
      </w:r>
    </w:p>
    <w:p>
      <w:pPr>
        <w:spacing w:line="480" w:after="200"/>
      </w:pPr>
      <w:r>
        <w:rPr>
          <w:rFonts w:ascii="Times New Roman" w:cs="Times New Roman" w:eastAsia="Times New Roman" w:hAnsi="Times New Roman"/>
          <w:sz w:val="24"/>
          <w:szCs w:val="24"/>
        </w:rPr>
        <w:t xml:space="preserve">We propose a three-layer barrier framework to explain this disparity. Layer 1 (Pathogen Biology) encompasses the irreversible nature of HIV integration within hours of exposure—a constraint equally applicable to all populations. Layer 2 (HIV Testing Failures) addresses acute infection detection gaps that create windows for breakthrough infections. Layer 3 (Architectural Barriers) comprises policy-dependent factors including criminalization, healthcare stigma, MSM-centric infrastructure design, systematic research exclusion, and algorithmic deprioritization.</w:t>
      </w:r>
    </w:p>
    <w:p>
      <w:pPr>
        <w:spacing w:line="480" w:after="200"/>
      </w:pPr>
      <w:r>
        <w:rPr>
          <w:rFonts w:ascii="Times New Roman" w:cs="Times New Roman" w:eastAsia="Times New Roman" w:hAnsi="Times New Roman"/>
          <w:sz w:val="24"/>
          <w:szCs w:val="24"/>
        </w:rPr>
        <w:t xml:space="preserve">This study applies Monte Carlo simulation to quantify the contribution of each barrier layer to cascade failure, compare PWID and MSM outcomes under identical pharmacological assumptions, and model the probability of catastrophic outbreak as current "prevention" through stochastic avoidance fails.</w:t>
      </w:r>
    </w:p>
    <w:p>
      <w:pPr>
        <w:pStyle w:val="Heading1"/>
      </w:pPr>
      <w:r>
        <w:rPr>
          <w:rFonts w:ascii="Times New Roman" w:cs="Times New Roman" w:eastAsia="Times New Roman" w:hAnsi="Times New Roman"/>
          <w:b/>
          <w:bCs/>
          <w:sz w:val="28"/>
          <w:szCs w:val="28"/>
        </w:rPr>
        <w:t xml:space="preserve">Methods</w:t>
      </w:r>
    </w:p>
    <w:p>
      <w:pPr>
        <w:pStyle w:val="Heading2"/>
      </w:pPr>
      <w:r>
        <w:rPr>
          <w:rFonts w:ascii="Times New Roman" w:cs="Times New Roman" w:eastAsia="Times New Roman" w:hAnsi="Times New Roman"/>
          <w:b/>
          <w:bCs/>
          <w:sz w:val="26"/>
          <w:szCs w:val="26"/>
        </w:rPr>
        <w:t xml:space="preserve">Conceptual Framework</w:t>
      </w:r>
    </w:p>
    <w:p>
      <w:pPr>
        <w:spacing w:line="480" w:after="200"/>
      </w:pPr>
      <w:r>
        <w:rPr>
          <w:rFonts w:ascii="Times New Roman" w:cs="Times New Roman" w:eastAsia="Times New Roman" w:hAnsi="Times New Roman"/>
          <w:sz w:val="24"/>
          <w:szCs w:val="24"/>
        </w:rPr>
        <w:t xml:space="preserve">We operationalize HIV prevention success as achieving 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 defined as completing the LAI-PrEP cascade and maintaining engagement without incarceration-related disruption. This binary outcome captures the mathematical requirement for prevention: any individual not achieving sustained engagement faces residual transmission risk regardless of drug efficacy.</w:t>
      </w:r>
    </w:p>
    <w:p>
      <w:pPr>
        <w:spacing w:line="480" w:after="200"/>
      </w:pPr>
      <w:r>
        <w:rPr>
          <w:rFonts w:ascii="Times New Roman" w:cs="Times New Roman" w:eastAsia="Times New Roman" w:hAnsi="Times New Roman"/>
          <w:sz w:val="24"/>
          <w:szCs w:val="24"/>
        </w:rPr>
        <w:t xml:space="preserve">The Prevention Theorem formalizes this constraint: Prevention is only possible while proviral integration remains incomplete (P</w:t>
      </w:r>
      <w:r>
        <w:rPr>
          <w:rFonts w:ascii="Times New Roman" w:cs="Times New Roman" w:eastAsia="Times New Roman" w:hAnsi="Times New Roman"/>
          <w:sz w:val="24"/>
          <w:szCs w:val="24"/>
          <w:vertAlign w:val="superscript"/>
        </w:rPr>
        <w:t xml:space="preserve">int</w:t>
      </w:r>
      <w:r>
        <w:rPr>
          <w:rFonts w:ascii="Times New Roman" w:cs="Times New Roman" w:eastAsia="Times New Roman" w:hAnsi="Times New Roman"/>
          <w:sz w:val="24"/>
          <w:szCs w:val="24"/>
        </w:rPr>
        <w:t xml:space="preserve">(t) &lt; 1). Once HIV establishes a latent reservoir, the individual transitions to an irreducible infected state where 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&gt;0 is permanently fixed regardless of subsequent intervention.</w:t>
      </w:r>
      <w:r>
        <w:rPr>
          <w:rFonts w:ascii="Times New Roman" w:cs="Times New Roman" w:eastAsia="Times New Roman" w:hAnsi="Times New Roman"/>
          <w:sz w:val="24"/>
          <w:szCs w:val="24"/>
          <w:vertAlign w:val="superscript"/>
        </w:rPr>
        <w:t xml:space="preserve">4</w:t>
      </w:r>
    </w:p>
    <w:p>
      <w:pPr>
        <w:pStyle w:val="Heading2"/>
      </w:pPr>
      <w:r>
        <w:rPr>
          <w:rFonts w:ascii="Times New Roman" w:cs="Times New Roman" w:eastAsia="Times New Roman" w:hAnsi="Times New Roman"/>
          <w:b/>
          <w:bCs/>
          <w:sz w:val="26"/>
          <w:szCs w:val="26"/>
        </w:rPr>
        <w:t xml:space="preserve">Cascade Specification</w:t>
      </w:r>
    </w:p>
    <w:p>
      <w:pPr>
        <w:spacing w:line="480" w:after="200"/>
      </w:pPr>
      <w:r>
        <w:rPr>
          <w:rFonts w:ascii="Times New Roman" w:cs="Times New Roman" w:eastAsia="Times New Roman" w:hAnsi="Times New Roman"/>
          <w:sz w:val="24"/>
          <w:szCs w:val="24"/>
        </w:rPr>
        <w:t xml:space="preserve">We model an 8-step LAI-PrEP cascade: (1) Awareness of LAI-PrEP availability for PWID, (2) Willingness to seek despite visibility concerns, (3) Healthcare access, (4) Disclosure of injection drug use to provider, (5) Provider willingness to prescribe, (6) Adequate HIV testing before first injection, (7) Return for first injection, and (8) Sustained engagement over time. Each step carries base completion probability derived from literature, modified by barrier penalties. See Table 1 for complete parameterization.</w:t>
      </w:r>
    </w:p>
    <w:p>
      <w:pPr>
        <w:pStyle w:val="Heading2"/>
      </w:pPr>
      <w:r>
        <w:rPr>
          <w:rFonts w:ascii="Times New Roman" w:cs="Times New Roman" w:eastAsia="Times New Roman" w:hAnsi="Times New Roman"/>
          <w:b/>
          <w:bCs/>
          <w:sz w:val="26"/>
          <w:szCs w:val="26"/>
        </w:rPr>
        <w:t xml:space="preserve">Incarceration Disruption</w:t>
      </w:r>
    </w:p>
    <w:p>
      <w:pPr>
        <w:spacing w:line="480" w:after="200"/>
      </w:pPr>
      <w:r>
        <w:rPr>
          <w:rFonts w:ascii="Times New Roman" w:cs="Times New Roman" w:eastAsia="Times New Roman" w:hAnsi="Times New Roman"/>
          <w:sz w:val="24"/>
          <w:szCs w:val="24"/>
        </w:rPr>
        <w:t xml:space="preserve">PWID experience annual incarceration rates of approximately 30%.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Incarceration disrupts LAI-PrEP through loss of scheduled injections, interruption of healthcare relationships, and barriers to re-engagement upon release. We model 5-year survival probability as (1-0.30)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 16.8% under current policy, compared to 77.4% for MSM (5% annual rate).</w:t>
      </w:r>
    </w:p>
    <w:p>
      <w:pPr>
        <w:pStyle w:val="Heading2"/>
      </w:pPr>
      <w:r>
        <w:rPr>
          <w:rFonts w:ascii="Times New Roman" w:cs="Times New Roman" w:eastAsia="Times New Roman" w:hAnsi="Times New Roman"/>
          <w:b/>
          <w:bCs/>
          <w:sz w:val="26"/>
          <w:szCs w:val="26"/>
        </w:rPr>
        <w:t xml:space="preserve">Monte Carlo Simulation</w:t>
      </w:r>
    </w:p>
    <w:p>
      <w:pPr>
        <w:spacing w:line="480" w:after="200"/>
      </w:pPr>
      <w:r>
        <w:rPr>
          <w:rFonts w:ascii="Times New Roman" w:cs="Times New Roman" w:eastAsia="Times New Roman" w:hAnsi="Times New Roman"/>
          <w:sz w:val="24"/>
          <w:szCs w:val="24"/>
        </w:rPr>
        <w:t xml:space="preserve">We simulated 100,000 individuals per policy scenario over 5-year horizons. Each individual progressed through the cascade with step-specific failure probabilities. Those completing all steps faced incarceration-related disruption probability. We calculated observed P(R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 with 95% confidence intervals using normal approximation.</w:t>
      </w:r>
    </w:p>
    <w:p>
      <w:pPr>
        <w:pStyle w:val="Heading2"/>
      </w:pPr>
      <w:r>
        <w:rPr>
          <w:rFonts w:ascii="Times New Roman" w:cs="Times New Roman" w:eastAsia="Times New Roman" w:hAnsi="Times New Roman"/>
          <w:b/>
          <w:bCs/>
          <w:sz w:val="26"/>
          <w:szCs w:val="26"/>
        </w:rPr>
        <w:t xml:space="preserve">Stochastic Avoidance Model</w:t>
      </w:r>
    </w:p>
    <w:p>
      <w:pPr>
        <w:spacing w:line="480" w:after="200"/>
      </w:pPr>
      <w:r>
        <w:rPr>
          <w:rFonts w:ascii="Times New Roman" w:cs="Times New Roman" w:eastAsia="Times New Roman" w:hAnsi="Times New Roman"/>
          <w:sz w:val="24"/>
          <w:szCs w:val="24"/>
        </w:rPr>
        <w:t xml:space="preserve">We hypothesize that HIV "prevention" among PWID has relied on stochastic avoidance—probability-based non-transmission due to low network density—rather than intervention. Network density increases with methamphetamine prevalence (growing at 2.5% annually from 14.3% baseline),</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housing instability (68.5%),</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and sex work bridging. Annual outbreak probability increases exponentially above critical threshold, modulated by syringe service program (21%) and opioid agonist therapy (8%) coverage.</w:t>
      </w:r>
    </w:p>
    <w:p>
      <w:pPr>
        <w:pStyle w:val="Heading2"/>
      </w:pPr>
      <w:r>
        <w:rPr>
          <w:rFonts w:ascii="Times New Roman" w:cs="Times New Roman" w:eastAsia="Times New Roman" w:hAnsi="Times New Roman"/>
          <w:b/>
          <w:bCs/>
          <w:sz w:val="26"/>
          <w:szCs w:val="26"/>
        </w:rPr>
        <w:t xml:space="preserve">Policy Scenarios</w:t>
      </w:r>
    </w:p>
    <w:p>
      <w:pPr>
        <w:spacing w:line="480" w:after="200"/>
      </w:pPr>
      <w:r>
        <w:rPr>
          <w:rFonts w:ascii="Times New Roman" w:cs="Times New Roman" w:eastAsia="Times New Roman" w:hAnsi="Times New Roman"/>
          <w:sz w:val="24"/>
          <w:szCs w:val="24"/>
        </w:rPr>
        <w:t xml:space="preserve">We evaluated 8 scenarios: (1) Current Policy, (2) Decriminalization Only, (3) Decriminalization + Stigma Reduction, (4) SSP-Integrated Delivery, (5) Full Harm Reduction, (6) Full HR + PURPOSE-4 Trial Data, (7) Full HR + Algorithmic Debiasing, and (8) Theoretical Maximum.</w:t>
      </w:r>
    </w:p>
    <w:p>
      <w:pPr>
        <w:pStyle w:val="Heading2"/>
      </w:pPr>
      <w:r>
        <w:rPr>
          <w:rFonts w:ascii="Times New Roman" w:cs="Times New Roman" w:eastAsia="Times New Roman" w:hAnsi="Times New Roman"/>
          <w:b/>
          <w:bCs/>
          <w:sz w:val="26"/>
          <w:szCs w:val="26"/>
        </w:rPr>
        <w:t xml:space="preserve">Signal-to-Noise Ratio Analysis</w:t>
      </w:r>
    </w:p>
    <w:p>
      <w:pPr>
        <w:spacing w:line="480" w:after="200"/>
      </w:pPr>
      <w:r>
        <w:rPr>
          <w:rFonts w:ascii="Times New Roman" w:cs="Times New Roman" w:eastAsia="Times New Roman" w:hAnsi="Times New Roman"/>
          <w:sz w:val="24"/>
          <w:szCs w:val="24"/>
        </w:rPr>
        <w:t xml:space="preserve">We applied a Leave-One-Out Cross-Validation (LOOCV) framework to assess validation quality. MSM achieved SNR=9,180 (19,800 participants across 9+ trials) versus SNR=76.4 for PWID (2,413 participants in single Bangkok 2013 trial)—a 120-fold disparity.</w:t>
      </w:r>
    </w:p>
    <w:p>
      <w:r>
        <w:br w:type="page"/>
      </w:r>
    </w:p>
    <w:p>
      <w:pPr>
        <w:pStyle w:val="Heading1"/>
      </w:pPr>
      <w:r>
        <w:rPr>
          <w:rFonts w:ascii="Times New Roman" w:cs="Times New Roman" w:eastAsia="Times New Roman" w:hAnsi="Times New Roman"/>
          <w:b/>
          <w:bCs/>
          <w:sz w:val="28"/>
          <w:szCs w:val="28"/>
        </w:rPr>
        <w:t xml:space="preserve">Results</w:t>
      </w:r>
    </w:p>
    <w:p>
      <w:pPr>
        <w:pStyle w:val="Heading2"/>
      </w:pPr>
      <w:r>
        <w:rPr>
          <w:rFonts w:ascii="Times New Roman" w:cs="Times New Roman" w:eastAsia="Times New Roman" w:hAnsi="Times New Roman"/>
          <w:b/>
          <w:bCs/>
          <w:sz w:val="26"/>
          <w:szCs w:val="26"/>
        </w:rPr>
        <w:t xml:space="preserve">Cascade Completion and P(R₀=0)</w:t>
      </w:r>
    </w:p>
    <w:p>
      <w:pPr>
        <w:spacing w:line="480" w:after="200"/>
      </w:pPr>
      <w:r>
        <w:rPr>
          <w:rFonts w:ascii="Times New Roman" w:cs="Times New Roman" w:eastAsia="Times New Roman" w:hAnsi="Times New Roman"/>
          <w:sz w:val="24"/>
          <w:szCs w:val="24"/>
        </w:rPr>
        <w:t xml:space="preserve">Under current policy, PWID achieved P(R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 = 0.003% (3 of 100,000 individuals; 95% CI: 0.000-0.006%). This compares to 16.3% for MSM receiving identical pharmacological interventions—a 5,434-fold disparity (Figure 1). Cascade completion rate was 0.005%, with incarceration disrupting 2 of 5 cascade completers.</w:t>
      </w:r>
    </w:p>
    <w:p>
      <w:pPr>
        <w:spacing w:line="480" w:after="200"/>
      </w:pPr>
      <w:r>
        <w:rPr>
          <w:rFonts w:ascii="Times New Roman" w:cs="Times New Roman" w:eastAsia="Times New Roman" w:hAnsi="Times New Roman"/>
          <w:sz w:val="24"/>
          <w:szCs w:val="24"/>
        </w:rPr>
        <w:t xml:space="preserve">Step-level analysis revealed that 89.9% of PWID failed at the first cascade step (awareness), with progressive attrition at each subsequent step. By contrast, MSM step probabilities ranged from 75-90%, producing multiplicative cascade completion of 21.1%.</w:t>
      </w:r>
    </w:p>
    <w:p>
      <w:pPr>
        <w:pStyle w:val="Heading2"/>
      </w:pPr>
      <w:r>
        <w:rPr>
          <w:rFonts w:ascii="Times New Roman" w:cs="Times New Roman" w:eastAsia="Times New Roman" w:hAnsi="Times New Roman"/>
          <w:b/>
          <w:bCs/>
          <w:sz w:val="26"/>
          <w:szCs w:val="26"/>
        </w:rPr>
        <w:t xml:space="preserve">Three-Layer Barrier Decomposition</w:t>
      </w:r>
    </w:p>
    <w:p>
      <w:pPr>
        <w:spacing w:line="480" w:after="200"/>
      </w:pPr>
      <w:r>
        <w:rPr>
          <w:rFonts w:ascii="Times New Roman" w:cs="Times New Roman" w:eastAsia="Times New Roman" w:hAnsi="Times New Roman"/>
          <w:sz w:val="24"/>
          <w:szCs w:val="24"/>
        </w:rPr>
        <w:t xml:space="preserve">Barrier decomposition (Figure 2) revealed that architectural barriers accounted for 93.2% of cascade failure, HIV testing gaps 6.8%, and pathogen biology 0.0%. Within architectural barriers: policy/criminalization contributed 38.4%, MSM-centric infrastructure 21.9%, healthcare stigma 20.6%, algorithmic bias 8.2%, and research exclusion 4.1%. The negligible contribution of pathogen biology confirms that pharmacological efficacy is not the limiting factor.</w:t>
      </w:r>
    </w:p>
    <w:p>
      <w:pPr>
        <w:pStyle w:val="Heading2"/>
      </w:pPr>
      <w:r>
        <w:rPr>
          <w:rFonts w:ascii="Times New Roman" w:cs="Times New Roman" w:eastAsia="Times New Roman" w:hAnsi="Times New Roman"/>
          <w:b/>
          <w:bCs/>
          <w:sz w:val="26"/>
          <w:szCs w:val="26"/>
        </w:rPr>
        <w:t xml:space="preserve">Policy Scenario Analysis</w:t>
      </w:r>
    </w:p>
    <w:p>
      <w:pPr>
        <w:spacing w:line="480" w:after="200"/>
      </w:pPr>
      <w:r>
        <w:rPr>
          <w:rFonts w:ascii="Times New Roman" w:cs="Times New Roman" w:eastAsia="Times New Roman" w:hAnsi="Times New Roman"/>
          <w:sz w:val="24"/>
          <w:szCs w:val="24"/>
        </w:rPr>
        <w:t xml:space="preserve">Progressive policy intervention produced substantial improvements (Figure 3; Table 2). Decriminalization alone increased P(R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 from 0.003% to 0.20%. SSP-integrated delivery reached 5.00%. Full harm reduction achieved 9.55%. Adding PURPOSE-4 data improved outcomes to 11.87%. Algorithmic debiasing reached 18.57%, exceeding MSM reference. Theoretical maximum achieved 19.74%.</w:t>
      </w:r>
    </w:p>
    <w:p>
      <w:pPr>
        <w:pStyle w:val="Heading2"/>
      </w:pPr>
      <w:r>
        <w:rPr>
          <w:rFonts w:ascii="Times New Roman" w:cs="Times New Roman" w:eastAsia="Times New Roman" w:hAnsi="Times New Roman"/>
          <w:b/>
          <w:bCs/>
          <w:sz w:val="26"/>
          <w:szCs w:val="26"/>
        </w:rPr>
        <w:t xml:space="preserve">Stochastic Avoidance Failure</w:t>
      </w:r>
    </w:p>
    <w:p>
      <w:pPr>
        <w:spacing w:line="480" w:after="200"/>
      </w:pPr>
      <w:r>
        <w:rPr>
          <w:rFonts w:ascii="Times New Roman" w:cs="Times New Roman" w:eastAsia="Times New Roman" w:hAnsi="Times New Roman"/>
          <w:sz w:val="24"/>
          <w:szCs w:val="24"/>
        </w:rPr>
        <w:t xml:space="preserve">The stochastic avoidance model predicted 63.3% probability of major outbreak within 5 years and 87.5% within 10 years (Figure 4). Median time to outbreak was 4.0 years. Network density is projected to exceed critical threshold by 2027-2028.</w:t>
      </w:r>
    </w:p>
    <w:p>
      <w:pPr>
        <w:pStyle w:val="Heading2"/>
      </w:pPr>
      <w:r>
        <w:rPr>
          <w:rFonts w:ascii="Times New Roman" w:cs="Times New Roman" w:eastAsia="Times New Roman" w:hAnsi="Times New Roman"/>
          <w:b/>
          <w:bCs/>
          <w:sz w:val="26"/>
          <w:szCs w:val="26"/>
        </w:rPr>
        <w:t xml:space="preserve">Signal-to-Noise Ratio</w:t>
      </w:r>
    </w:p>
    <w:p>
      <w:pPr>
        <w:spacing w:line="480" w:after="200"/>
      </w:pPr>
      <w:r>
        <w:rPr>
          <w:rFonts w:ascii="Times New Roman" w:cs="Times New Roman" w:eastAsia="Times New Roman" w:hAnsi="Times New Roman"/>
          <w:sz w:val="24"/>
          <w:szCs w:val="24"/>
        </w:rPr>
        <w:t xml:space="preserve">The 120-fold SNR disparity (Figure 5) illustrates systematic research exclusion. PWID represent the "held-out" population in a de facto LOOCV framework—validated in exactly one trial while predictions are extrapolated from MSM-dominated training data.</w:t>
      </w:r>
    </w:p>
    <w:p>
      <w:r>
        <w:br w:type="page"/>
      </w:r>
    </w:p>
    <w:p>
      <w:pPr>
        <w:pStyle w:val="Heading1"/>
      </w:pPr>
      <w:r>
        <w:rPr>
          <w:rFonts w:ascii="Times New Roman" w:cs="Times New Roman" w:eastAsia="Times New Roman" w:hAnsi="Times New Roman"/>
          <w:b/>
          <w:bCs/>
          <w:sz w:val="28"/>
          <w:szCs w:val="28"/>
        </w:rPr>
        <w:t xml:space="preserve">Discussion</w:t>
      </w:r>
    </w:p>
    <w:p>
      <w:pPr>
        <w:spacing w:line="480" w:after="200"/>
      </w:pPr>
      <w:r>
        <w:rPr>
          <w:rFonts w:ascii="Times New Roman" w:cs="Times New Roman" w:eastAsia="Times New Roman" w:hAnsi="Times New Roman"/>
          <w:sz w:val="24"/>
          <w:szCs w:val="24"/>
        </w:rPr>
        <w:t xml:space="preserve">Our findings demonstrate that HIV prevention failure among PWID is not a pharmacological problem but an architectural one. The 5,434-fold disparity between PWID and MSM outcomes under identical pharmacology provides natural experimental evidence that policy, not biology, determines prevention success.</w:t>
      </w:r>
    </w:p>
    <w:p>
      <w:pPr>
        <w:spacing w:line="480" w:after="200"/>
      </w:pPr>
      <w:r>
        <w:rPr>
          <w:rFonts w:ascii="Times New Roman" w:cs="Times New Roman" w:eastAsia="Times New Roman" w:hAnsi="Times New Roman"/>
          <w:sz w:val="24"/>
          <w:szCs w:val="24"/>
        </w:rPr>
        <w:t xml:space="preserve">Three findings warrant particular attention. First, criminalization alone accounts for 38.4% of barrier attribution—the single largest contributor. Drug policy reform is a mathematical prerequisite for HIV prevention. Second, the 63.3% five-year outbreak probability represents predictable system failure, not epidemic randomness. Third, even theoretical maximum intervention achieves only 19.74% effectiveness, suggesting some constraints cannot be fully overcome.</w:t>
      </w:r>
    </w:p>
    <w:p>
      <w:pPr>
        <w:spacing w:line="480" w:after="200"/>
      </w:pPr>
      <w:r>
        <w:rPr>
          <w:rFonts w:ascii="Times New Roman" w:cs="Times New Roman" w:eastAsia="Times New Roman" w:hAnsi="Times New Roman"/>
          <w:sz w:val="24"/>
          <w:szCs w:val="24"/>
        </w:rPr>
        <w:t xml:space="preserve">Our LOOCV framework reveals a troubling paradox: PWID are simultaneously the population most in need of validation and most systematically excluded from validation studies.</w:t>
      </w:r>
    </w:p>
    <w:p>
      <w:pPr>
        <w:pStyle w:val="Heading2"/>
      </w:pPr>
      <w:r>
        <w:rPr>
          <w:rFonts w:ascii="Times New Roman" w:cs="Times New Roman" w:eastAsia="Times New Roman" w:hAnsi="Times New Roman"/>
          <w:b/>
          <w:bCs/>
          <w:sz w:val="26"/>
          <w:szCs w:val="26"/>
        </w:rPr>
        <w:t xml:space="preserve">Limitations</w:t>
      </w:r>
    </w:p>
    <w:p>
      <w:pPr>
        <w:spacing w:line="480" w:after="200"/>
      </w:pPr>
      <w:r>
        <w:rPr>
          <w:rFonts w:ascii="Times New Roman" w:cs="Times New Roman" w:eastAsia="Times New Roman" w:hAnsi="Times New Roman"/>
          <w:sz w:val="24"/>
          <w:szCs w:val="24"/>
        </w:rPr>
        <w:t xml:space="preserve">Our barrier parameterization relies on heterogeneous literature sources. The stochastic avoidance model simplifies complex network dynamics. We assume barrier effects are multiplicatively independent. Regional variation is modeled at aggregate level.</w:t>
      </w:r>
    </w:p>
    <w:p>
      <w:pPr>
        <w:pStyle w:val="Heading2"/>
      </w:pPr>
      <w:r>
        <w:rPr>
          <w:rFonts w:ascii="Times New Roman" w:cs="Times New Roman" w:eastAsia="Times New Roman" w:hAnsi="Times New Roman"/>
          <w:b/>
          <w:bCs/>
          <w:sz w:val="26"/>
          <w:szCs w:val="26"/>
        </w:rPr>
        <w:t xml:space="preserve">Policy Implications</w:t>
      </w:r>
    </w:p>
    <w:p>
      <w:pPr>
        <w:spacing w:line="480" w:after="200"/>
      </w:pPr>
      <w:r>
        <w:rPr>
          <w:rFonts w:ascii="Times New Roman" w:cs="Times New Roman" w:eastAsia="Times New Roman" w:hAnsi="Times New Roman"/>
          <w:sz w:val="24"/>
          <w:szCs w:val="24"/>
        </w:rPr>
        <w:t xml:space="preserve">Decriminalization is necessary but insufficient. SSP-integrated LAI-PrEP delivery offers efficient mechanisms. PURPOSE-4 trial completion will address critical validation gaps. Algorithmic systems require explicit debiasing.</w:t>
      </w:r>
    </w:p>
    <w:p>
      <w:pPr>
        <w:pStyle w:val="Heading1"/>
      </w:pPr>
      <w:r>
        <w:rPr>
          <w:rFonts w:ascii="Times New Roman" w:cs="Times New Roman" w:eastAsia="Times New Roman" w:hAnsi="Times New Roman"/>
          <w:b/>
          <w:bCs/>
          <w:sz w:val="28"/>
          <w:szCs w:val="28"/>
        </w:rPr>
        <w:t xml:space="preserve">Conclusions</w:t>
      </w:r>
    </w:p>
    <w:p>
      <w:pPr>
        <w:spacing w:line="480" w:after="200"/>
      </w:pPr>
      <w:r>
        <w:rPr>
          <w:rFonts w:ascii="Times New Roman" w:cs="Times New Roman" w:eastAsia="Times New Roman" w:hAnsi="Times New Roman"/>
          <w:sz w:val="24"/>
          <w:szCs w:val="24"/>
        </w:rPr>
        <w:t xml:space="preserve">HIV prevention for PWID currently relies on stochastic avoidance rather than pharmaceutical intervention. The same drugs achieving &gt;99% efficacy for MSM achieve 0.003% for PWID because of architectural barriers, not biological limitations. This 5,434-fold disparity represents policy choices, not epidemic inevitability. Predictable outbreaks will reflect failed policy—and the deaths will be preventable by the same standards that made them preventable for MSM decades ago.</w:t>
      </w:r>
    </w:p>
    <w:p>
      <w:r>
        <w:br w:type="page"/>
      </w:r>
    </w:p>
    <w:p>
      <w:pPr>
        <w:pStyle w:val="Heading1"/>
      </w:pPr>
      <w:r>
        <w:rPr>
          <w:rFonts w:ascii="Times New Roman" w:cs="Times New Roman" w:eastAsia="Times New Roman" w:hAnsi="Times New Roman"/>
          <w:b/>
          <w:bCs/>
          <w:sz w:val="28"/>
          <w:szCs w:val="28"/>
        </w:rPr>
        <w:t xml:space="preserve">Declarations</w:t>
      </w:r>
    </w:p>
    <w:p>
      <w:pPr>
        <w:spacing w:line="480" w:after="200"/>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This research received no specific grant from any funding agency.</w:t>
      </w:r>
    </w:p>
    <w:p>
      <w:pPr>
        <w:spacing w:line="480" w:after="200"/>
      </w:pPr>
      <w:r>
        <w:rPr>
          <w:rFonts w:ascii="Times New Roman" w:cs="Times New Roman" w:eastAsia="Times New Roman" w:hAnsi="Times New Roman"/>
          <w:b/>
          <w:bCs/>
          <w:sz w:val="24"/>
          <w:szCs w:val="24"/>
        </w:rPr>
        <w:t xml:space="preserve">Conflicts of Interest: </w:t>
      </w:r>
      <w:r>
        <w:rPr>
          <w:rFonts w:ascii="Times New Roman" w:cs="Times New Roman" w:eastAsia="Times New Roman" w:hAnsi="Times New Roman"/>
          <w:sz w:val="24"/>
          <w:szCs w:val="24"/>
        </w:rPr>
        <w:t xml:space="preserve">The author declares no conflicts of interest.</w:t>
      </w:r>
    </w:p>
    <w:p>
      <w:pPr>
        <w:spacing w:line="480" w:after="200"/>
      </w:pPr>
      <w:r>
        <w:rPr>
          <w:rFonts w:ascii="Times New Roman" w:cs="Times New Roman" w:eastAsia="Times New Roman" w:hAnsi="Times New Roman"/>
          <w:b/>
          <w:bCs/>
          <w:sz w:val="24"/>
          <w:szCs w:val="24"/>
        </w:rPr>
        <w:t xml:space="preserve">Ethics Approval: </w:t>
      </w:r>
      <w:r>
        <w:rPr>
          <w:rFonts w:ascii="Times New Roman" w:cs="Times New Roman" w:eastAsia="Times New Roman" w:hAnsi="Times New Roman"/>
          <w:sz w:val="24"/>
          <w:szCs w:val="24"/>
        </w:rPr>
        <w:t xml:space="preserve">Not applicable. This study used published aggregate data and computational modeling.</w:t>
      </w:r>
    </w:p>
    <w:p>
      <w:pPr>
        <w:spacing w:line="480" w:after="200"/>
      </w:pPr>
      <w:r>
        <w:rPr>
          <w:rFonts w:ascii="Times New Roman" w:cs="Times New Roman" w:eastAsia="Times New Roman" w:hAnsi="Times New Roman"/>
          <w:b/>
          <w:bCs/>
          <w:sz w:val="24"/>
          <w:szCs w:val="24"/>
        </w:rPr>
        <w:t xml:space="preserve">Data Availability: </w:t>
      </w:r>
      <w:r>
        <w:rPr>
          <w:rFonts w:ascii="Times New Roman" w:cs="Times New Roman" w:eastAsia="Times New Roman" w:hAnsi="Times New Roman"/>
          <w:sz w:val="24"/>
          <w:szCs w:val="24"/>
        </w:rPr>
        <w:t xml:space="preserve">All code and data are available at https://github.com/Nyx-Dynamics/HIV_Prevention_PWID</w:t>
      </w:r>
    </w:p>
    <w:p>
      <w:pPr>
        <w:spacing w:line="480" w:after="200"/>
      </w:pPr>
      <w:r>
        <w:rPr>
          <w:rFonts w:ascii="Times New Roman" w:cs="Times New Roman" w:eastAsia="Times New Roman" w:hAnsi="Times New Roman"/>
          <w:b/>
          <w:bCs/>
          <w:sz w:val="24"/>
          <w:szCs w:val="24"/>
        </w:rPr>
        <w:t xml:space="preserve">Author Contributions: </w:t>
      </w:r>
      <w:r>
        <w:rPr>
          <w:rFonts w:ascii="Times New Roman" w:cs="Times New Roman" w:eastAsia="Times New Roman" w:hAnsi="Times New Roman"/>
          <w:sz w:val="24"/>
          <w:szCs w:val="24"/>
        </w:rPr>
        <w:t xml:space="preserve">ACD conceived the study, developed the model, conducted analyses, and wrote the manuscript.</w:t>
      </w:r>
    </w:p>
    <w:p>
      <w:r>
        <w:br w:type="page"/>
      </w:r>
    </w:p>
    <w:p>
      <w:pPr>
        <w:pStyle w:val="Heading1"/>
      </w:pPr>
      <w:r>
        <w:rPr>
          <w:rFonts w:ascii="Times New Roman" w:cs="Times New Roman" w:eastAsia="Times New Roman" w:hAnsi="Times New Roman"/>
          <w:b/>
          <w:bCs/>
          <w:sz w:val="28"/>
          <w:szCs w:val="28"/>
        </w:rPr>
        <w:t xml:space="preserve">References</w:t>
      </w:r>
    </w:p>
    <w:p>
      <w:pPr>
        <w:pStyle w:val="ListParagraph"/>
        <w:numPr>
          <w:ilvl w:val="0"/>
          <w:numId w:val="2"/>
        </w:numPr>
        <w:spacing w:line="480" w:after="100"/>
      </w:pPr>
      <w:r>
        <w:rPr>
          <w:rFonts w:ascii="Times New Roman" w:cs="Times New Roman" w:eastAsia="Times New Roman" w:hAnsi="Times New Roman"/>
          <w:sz w:val="24"/>
          <w:szCs w:val="24"/>
        </w:rPr>
        <w:t xml:space="preserve">Marzinke MA, et al. Lenacapavir for HIV prevention in cisgender women. N Engl J Med. 2024;391:1277-1288.</w:t>
      </w:r>
    </w:p>
    <w:p>
      <w:pPr>
        <w:pStyle w:val="ListParagraph"/>
        <w:numPr>
          <w:ilvl w:val="0"/>
          <w:numId w:val="2"/>
        </w:numPr>
        <w:spacing w:line="480" w:after="100"/>
      </w:pPr>
      <w:r>
        <w:rPr>
          <w:rFonts w:ascii="Times New Roman" w:cs="Times New Roman" w:eastAsia="Times New Roman" w:hAnsi="Times New Roman"/>
          <w:sz w:val="24"/>
          <w:szCs w:val="24"/>
        </w:rPr>
        <w:t xml:space="preserve">Degenhardt L, et al. Global prevalence of injecting drug use and HIV among people who inject drugs. Lancet Glob Health. 2017;5(12):e1192-e1207.</w:t>
      </w:r>
    </w:p>
    <w:p>
      <w:pPr>
        <w:pStyle w:val="ListParagraph"/>
        <w:numPr>
          <w:ilvl w:val="0"/>
          <w:numId w:val="2"/>
        </w:numPr>
        <w:spacing w:line="480" w:after="100"/>
      </w:pPr>
      <w:r>
        <w:rPr>
          <w:rFonts w:ascii="Times New Roman" w:cs="Times New Roman" w:eastAsia="Times New Roman" w:hAnsi="Times New Roman"/>
          <w:sz w:val="24"/>
          <w:szCs w:val="24"/>
        </w:rPr>
        <w:t xml:space="preserve">Mistler CB, et al. Barriers to PrEP uptake among people who inject drugs. AIDS Behav. 2021;25:1431-1450.</w:t>
      </w:r>
    </w:p>
    <w:p>
      <w:pPr>
        <w:pStyle w:val="ListParagraph"/>
        <w:numPr>
          <w:ilvl w:val="0"/>
          <w:numId w:val="2"/>
        </w:numPr>
        <w:spacing w:line="480" w:after="100"/>
      </w:pPr>
      <w:r>
        <w:rPr>
          <w:rFonts w:ascii="Times New Roman" w:cs="Times New Roman" w:eastAsia="Times New Roman" w:hAnsi="Times New Roman"/>
          <w:sz w:val="24"/>
          <w:szCs w:val="24"/>
        </w:rPr>
        <w:t xml:space="preserve">Demidont AC. The HIV Prevention Theorem: Mathematical constraints on achieving R₀=0. Epidemics. 2026 [submitted].</w:t>
      </w:r>
    </w:p>
    <w:p>
      <w:pPr>
        <w:pStyle w:val="ListParagraph"/>
        <w:numPr>
          <w:ilvl w:val="0"/>
          <w:numId w:val="2"/>
        </w:numPr>
        <w:spacing w:line="480" w:after="100"/>
      </w:pPr>
      <w:r>
        <w:rPr>
          <w:rFonts w:ascii="Times New Roman" w:cs="Times New Roman" w:eastAsia="Times New Roman" w:hAnsi="Times New Roman"/>
          <w:sz w:val="24"/>
          <w:szCs w:val="24"/>
        </w:rPr>
        <w:t xml:space="preserve">DeBeck K, et al. HIV and the criminalisation of drug use among people who inject drugs. Lancet HIV. 2017;4(8):e357-e374.</w:t>
      </w:r>
    </w:p>
    <w:p>
      <w:pPr>
        <w:pStyle w:val="ListParagraph"/>
        <w:numPr>
          <w:ilvl w:val="0"/>
          <w:numId w:val="2"/>
        </w:numPr>
        <w:spacing w:line="480" w:after="100"/>
      </w:pPr>
      <w:r>
        <w:rPr>
          <w:rFonts w:ascii="Times New Roman" w:cs="Times New Roman" w:eastAsia="Times New Roman" w:hAnsi="Times New Roman"/>
          <w:sz w:val="24"/>
          <w:szCs w:val="24"/>
        </w:rPr>
        <w:t xml:space="preserve">Jones CM, et al. Changes in stimulant use among people who use opioids. Drug Alcohol Depend. 2020;206:107779.</w:t>
      </w:r>
    </w:p>
    <w:p>
      <w:pPr>
        <w:pStyle w:val="ListParagraph"/>
        <w:numPr>
          <w:ilvl w:val="0"/>
          <w:numId w:val="2"/>
        </w:numPr>
        <w:spacing w:line="480" w:after="100"/>
      </w:pPr>
      <w:r>
        <w:rPr>
          <w:rFonts w:ascii="Times New Roman" w:cs="Times New Roman" w:eastAsia="Times New Roman" w:hAnsi="Times New Roman"/>
          <w:sz w:val="24"/>
          <w:szCs w:val="24"/>
        </w:rPr>
        <w:t xml:space="preserve">Arum C, et al. Homelessness, unstable housing, and risk of HIV infection among PWID. Int J Drug Policy. 2021;96:103299.</w:t>
      </w:r>
    </w:p>
    <w:p>
      <w:pPr>
        <w:pStyle w:val="ListParagraph"/>
        <w:numPr>
          <w:ilvl w:val="0"/>
          <w:numId w:val="2"/>
        </w:numPr>
        <w:spacing w:line="480" w:after="100"/>
      </w:pPr>
      <w:r>
        <w:rPr>
          <w:rFonts w:ascii="Times New Roman" w:cs="Times New Roman" w:eastAsia="Times New Roman" w:hAnsi="Times New Roman"/>
          <w:sz w:val="24"/>
          <w:szCs w:val="24"/>
        </w:rPr>
        <w:t xml:space="preserve">Biancarelli DL, et al. Strategies used by people who inject drugs to avoid stigma in healthcare settings. Drug Alcohol Depend. 2019;198:80-86.</w:t>
      </w:r>
    </w:p>
    <w:p>
      <w:pPr>
        <w:pStyle w:val="ListParagraph"/>
        <w:numPr>
          <w:ilvl w:val="0"/>
          <w:numId w:val="2"/>
        </w:numPr>
        <w:spacing w:line="480" w:after="100"/>
      </w:pPr>
      <w:r>
        <w:rPr>
          <w:rFonts w:ascii="Times New Roman" w:cs="Times New Roman" w:eastAsia="Times New Roman" w:hAnsi="Times New Roman"/>
          <w:sz w:val="24"/>
          <w:szCs w:val="24"/>
        </w:rPr>
        <w:t xml:space="preserve">Van Handel MM, et al. County-level vulnerability assessment for rapid dissemination of HIV among persons who inject drugs. J Acquir Immune Defic Syndr. 2016;73(3):323-331.</w:t>
      </w:r>
    </w:p>
    <w:p>
      <w:pPr>
        <w:pStyle w:val="ListParagraph"/>
        <w:numPr>
          <w:ilvl w:val="0"/>
          <w:numId w:val="2"/>
        </w:numPr>
        <w:spacing w:line="480" w:after="100"/>
      </w:pPr>
      <w:r>
        <w:rPr>
          <w:rFonts w:ascii="Times New Roman" w:cs="Times New Roman" w:eastAsia="Times New Roman" w:hAnsi="Times New Roman"/>
          <w:sz w:val="24"/>
          <w:szCs w:val="24"/>
        </w:rPr>
        <w:t xml:space="preserve">Des Jarlais DC, et al. Ending HIV outbreaks among people who inject drugs. J Acquir Immune Defic Syndr. 2022;90(S1):S1-S5.</w:t>
      </w:r>
    </w:p>
    <w:p>
      <w:r>
        <w:br w:type="page"/>
      </w:r>
    </w:p>
    <w:p>
      <w:pPr>
        <w:pStyle w:val="Heading1"/>
      </w:pPr>
      <w:r>
        <w:rPr>
          <w:rFonts w:ascii="Times New Roman" w:cs="Times New Roman" w:eastAsia="Times New Roman" w:hAnsi="Times New Roman"/>
          <w:b/>
          <w:bCs/>
          <w:sz w:val="28"/>
          <w:szCs w:val="28"/>
        </w:rPr>
        <w:t xml:space="preserve">Tables</w:t>
      </w:r>
    </w:p>
    <w:p>
      <w:pPr>
        <w:spacing w:after="20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Cascade Step Probabilities by Population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E2F3" w:val="clear"/>
          </w:tcPr>
          <w:p>
            <w:r>
              <w:rPr>
                <w:rFonts w:ascii="Times New Roman" w:cs="Times New Roman" w:eastAsia="Times New Roman" w:hAnsi="Times New Roman"/>
                <w:b/>
                <w:bCs/>
                <w:sz w:val="24"/>
                <w:szCs w:val="24"/>
              </w:rPr>
              <w:t xml:space="preserve">Cascade Step</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PWID (%)</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MSM (%)</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Awareness</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Willingness</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Healthcare Access</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Disclosure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Provider Willing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HIV Testing Adequate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First Injection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Sustained Engagement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75</w:t>
            </w:r>
          </w:p>
        </w:tc>
      </w:tr>
      <w:tr>
        <w:tc>
          <w:tcPr>
            <w:tcBorders>
              <w:top w:val="single" w:color="000000" w:sz="1"/>
              <w:left w:val="single" w:color="000000" w:sz="1"/>
              <w:bottom w:val="single" w:color="000000" w:sz="1"/>
              <w:right w:val="single" w:color="000000" w:sz="1"/>
            </w:tcBorders>
            <w:shd w:fill="F2F2F2" w:val="clear"/>
          </w:tcPr>
          <w:p>
            <w:r>
              <w:rPr>
                <w:rFonts w:ascii="Times New Roman" w:cs="Times New Roman" w:eastAsia="Times New Roman" w:hAnsi="Times New Roman"/>
                <w:b/>
                <w:bCs/>
                <w:sz w:val="24"/>
                <w:szCs w:val="24"/>
              </w:rPr>
              <w:t xml:space="preserve">Cascade Completion</w:t>
            </w:r>
          </w:p>
        </w:tc>
        <w:tc>
          <w:tcPr>
            <w:tcBorders>
              <w:top w:val="single" w:color="000000" w:sz="1"/>
              <w:left w:val="single" w:color="000000" w:sz="1"/>
              <w:bottom w:val="single" w:color="000000" w:sz="1"/>
              <w:right w:val="single" w:color="000000" w:sz="1"/>
            </w:tcBorders>
            <w:shd w:fill="F2F2F2" w:val="clear"/>
          </w:tcPr>
          <w:p>
            <w:pPr>
              <w:jc w:val="center"/>
            </w:pPr>
            <w:r>
              <w:rPr>
                <w:rFonts w:ascii="Times New Roman" w:cs="Times New Roman" w:eastAsia="Times New Roman" w:hAnsi="Times New Roman"/>
                <w:b/>
                <w:bCs/>
                <w:sz w:val="24"/>
                <w:szCs w:val="24"/>
              </w:rPr>
              <w:t xml:space="preserve">0.005</w:t>
            </w:r>
          </w:p>
        </w:tc>
        <w:tc>
          <w:tcPr>
            <w:tcBorders>
              <w:top w:val="single" w:color="000000" w:sz="1"/>
              <w:left w:val="single" w:color="000000" w:sz="1"/>
              <w:bottom w:val="single" w:color="000000" w:sz="1"/>
              <w:right w:val="single" w:color="000000" w:sz="1"/>
            </w:tcBorders>
            <w:shd w:fill="F2F2F2" w:val="clear"/>
          </w:tcPr>
          <w:p>
            <w:pPr>
              <w:jc w:val="center"/>
            </w:pPr>
            <w:r>
              <w:rPr>
                <w:rFonts w:ascii="Times New Roman" w:cs="Times New Roman" w:eastAsia="Times New Roman" w:hAnsi="Times New Roman"/>
                <w:b/>
                <w:bCs/>
                <w:sz w:val="24"/>
                <w:szCs w:val="24"/>
              </w:rPr>
              <w:t xml:space="preserve">21.1</w:t>
            </w:r>
          </w:p>
        </w:tc>
      </w:tr>
      <w:tr>
        <w:tc>
          <w:tcPr>
            <w:tcBorders>
              <w:top w:val="single" w:color="000000" w:sz="1"/>
              <w:left w:val="single" w:color="000000" w:sz="1"/>
              <w:bottom w:val="single" w:color="000000" w:sz="1"/>
              <w:right w:val="single" w:color="000000" w:sz="1"/>
            </w:tcBorders>
            <w:shd w:fill="F2F2F2" w:val="clear"/>
          </w:tcPr>
          <w:p>
            <w:r>
              <w:rPr>
                <w:rFonts w:ascii="Times New Roman" w:cs="Times New Roman" w:eastAsia="Times New Roman" w:hAnsi="Times New Roman"/>
                <w:b/>
                <w:bCs/>
                <w:sz w:val="24"/>
                <w:szCs w:val="24"/>
              </w:rPr>
              <w:t xml:space="preserve">P(R₀=0)</w:t>
            </w:r>
          </w:p>
        </w:tc>
        <w:tc>
          <w:tcPr>
            <w:tcBorders>
              <w:top w:val="single" w:color="000000" w:sz="1"/>
              <w:left w:val="single" w:color="000000" w:sz="1"/>
              <w:bottom w:val="single" w:color="000000" w:sz="1"/>
              <w:right w:val="single" w:color="000000" w:sz="1"/>
            </w:tcBorders>
            <w:shd w:fill="F2F2F2" w:val="clear"/>
          </w:tcPr>
          <w:p>
            <w:pPr>
              <w:jc w:val="center"/>
            </w:pPr>
            <w:r>
              <w:rPr>
                <w:rFonts w:ascii="Times New Roman" w:cs="Times New Roman" w:eastAsia="Times New Roman" w:hAnsi="Times New Roman"/>
                <w:b/>
                <w:bCs/>
                <w:sz w:val="24"/>
                <w:szCs w:val="24"/>
              </w:rPr>
              <w:t xml:space="preserve">0.003</w:t>
            </w:r>
          </w:p>
        </w:tc>
        <w:tc>
          <w:tcPr>
            <w:tcBorders>
              <w:top w:val="single" w:color="000000" w:sz="1"/>
              <w:left w:val="single" w:color="000000" w:sz="1"/>
              <w:bottom w:val="single" w:color="000000" w:sz="1"/>
              <w:right w:val="single" w:color="000000" w:sz="1"/>
            </w:tcBorders>
            <w:shd w:fill="F2F2F2" w:val="clear"/>
          </w:tcPr>
          <w:p>
            <w:pPr>
              <w:jc w:val="center"/>
            </w:pPr>
            <w:r>
              <w:rPr>
                <w:rFonts w:ascii="Times New Roman" w:cs="Times New Roman" w:eastAsia="Times New Roman" w:hAnsi="Times New Roman"/>
                <w:b/>
                <w:bCs/>
                <w:sz w:val="24"/>
                <w:szCs w:val="24"/>
              </w:rPr>
              <w:t xml:space="preserve">16.3</w:t>
            </w:r>
          </w:p>
        </w:tc>
      </w:tr>
    </w:tbl>
    <w:p>
      <w:pPr>
        <w:spacing w:after="400"/>
      </w:pPr>
    </w:p>
    <w:p>
      <w:pPr>
        <w:spacing w:after="20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Policy Scenario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E2F3" w:val="clear"/>
          </w:tcPr>
          <w:p>
            <w:r>
              <w:rPr>
                <w:rFonts w:ascii="Times New Roman" w:cs="Times New Roman" w:eastAsia="Times New Roman" w:hAnsi="Times New Roman"/>
                <w:b/>
                <w:bCs/>
                <w:sz w:val="24"/>
                <w:szCs w:val="24"/>
              </w:rPr>
              <w:t xml:space="preserve">Scenario</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P(R₀=0) %</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95% CI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Current Policy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0.003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(0.000, 0.006)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Decriminalization Only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0.20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(0.17, 0.23)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Decrim + Stigma Reduction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0.45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(0.41, 0.50)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SSP-Integrated Delivery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5.00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(4.87, 5.14)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Full Harm Reduction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9.55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(9.37, 9.73)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Full HR + PURPOSE-4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11.87</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(11.67, 12.07)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Full HR + ML Debiasing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18.57</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(18.33, 18.81)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Theoretical Maximum</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19.74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(19.49, 19.98)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MSM (Comparison)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16.30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w:t>
            </w:r>
          </w:p>
        </w:tc>
      </w:tr>
    </w:tbl>
    <w:p>
      <w:r>
        <w:br w:type="page"/>
      </w:r>
    </w:p>
    <w:p>
      <w:pPr>
        <w:pStyle w:val="Heading1"/>
      </w:pPr>
      <w:r>
        <w:rPr>
          <w:rFonts w:ascii="Times New Roman" w:cs="Times New Roman" w:eastAsia="Times New Roman" w:hAnsi="Times New Roman"/>
          <w:b/>
          <w:bCs/>
          <w:sz w:val="28"/>
          <w:szCs w:val="28"/>
        </w:rPr>
        <w:t xml:space="preserve">Figure Legends</w:t>
      </w:r>
    </w:p>
    <w:p>
      <w:pPr>
        <w:spacing w:line="480" w:after="300"/>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LAI-PrEP Cascade Comparison: MSM vs PWID. Step completion probabilities across the 8-step prevention cascade. MSM (blue) achieve 16.3% P(R₀=0) while PWID (orange) achieve 0.003%—a 5,434-fold disparity.</w:t>
      </w:r>
    </w:p>
    <w:p>
      <w:pPr>
        <w:spacing w:line="480" w:after="300"/>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Three-Layer Barrier Decomposition. (A) HIV Testing 6.9%, Architectural 93.1%. (B) Architectural subtypes: Policy 38.4%, Infrastructure 21.9%, Stigma 20.6%, ML 8.2%, Research 4.1%.</w:t>
      </w:r>
    </w:p>
    <w:p>
      <w:pPr>
        <w:spacing w:line="480" w:after="300"/>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Policy Scenario Analysis. P(R₀=0) from Current Policy (0.003%) to Theoretical Maximum (19.74%). Dashed line indicates MSM reference (16.3%).</w:t>
      </w:r>
    </w:p>
    <w:p>
      <w:pPr>
        <w:spacing w:line="480" w:after="300"/>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Stochastic Avoidance Failure. (A) Cumulative outbreak probability: 63.3% at 5 years, 87.5% at 10 years. (B) Time-to-outbreak distribution with median 4.0 years.</w:t>
      </w:r>
    </w:p>
    <w:p>
      <w:pPr>
        <w:spacing w:line="480" w:after="300"/>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Signal-to-Noise Ratio and LOOCV. (A) MSM SNR=9,180 vs PWID SNR=76 (120-fold disparity). (B) Training set (19,800) vs Held-out set (2,413).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PWID HIV Prevention Barriers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2026-01-06T20:22:13.391Z</dcterms:created>
  <dcterms:modified xsi:type="dcterms:W3CDTF">2026-01-06T20:22:13.392Z</dcterms:modified>
</cp:coreProperties>
</file>

<file path=docProps/custom.xml><?xml version="1.0" encoding="utf-8"?>
<Properties xmlns="http://schemas.openxmlformats.org/officeDocument/2006/custom-properties" xmlns:vt="http://schemas.openxmlformats.org/officeDocument/2006/docPropsVTypes"/>
</file>