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☐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☒ The authors declare the following financial interests/personal relationships which may be considered as potential competing interests: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The corresponding author (ACD) reports prior employment with Gilead Sciences, Inc. from January 2020 through</w:t>
            </w:r>
            <w:r>
              <w:t xml:space="preserve"> </w:t>
            </w:r>
            <w:r>
              <w:t xml:space="preserve">November 2024 and prior ownership of company stock, which was fully divested in December</w:t>
            </w:r>
            <w:r>
              <w:t xml:space="preserve"> </w:t>
            </w:r>
            <w:r>
              <w:t xml:space="preserve">2024. Gilead Sciences, Inc. had no role in the conception, design, analysis, interpretation, or</w:t>
            </w:r>
            <w:r>
              <w:t xml:space="preserve"> </w:t>
            </w:r>
            <w:r>
              <w:t xml:space="preserve">writing of this study, and provided no funding, data, materials, or input into any aspect of the</w:t>
            </w:r>
            <w:r>
              <w:t xml:space="preserve"> </w:t>
            </w:r>
            <w:r>
              <w:t xml:space="preserve">work.</w:t>
            </w:r>
          </w:p>
          <w:p>
            <w:pPr>
              <w:jc w:val="left"/>
            </w:pPr>
            <w:r>
              <w:t xml:space="preserve">The corresponding author (ACD) is the owner of Nyx Dynamics, LLC, a consulting company providing advisory and</w:t>
            </w:r>
            <w:r>
              <w:t xml:space="preserve"> </w:t>
            </w:r>
            <w:r>
              <w:t xml:space="preserve">fractional leadership services in healthcare, technology, and complex systems. This research</w:t>
            </w:r>
            <w:r>
              <w:t xml:space="preserve"> </w:t>
            </w:r>
            <w:r>
              <w:t xml:space="preserve">was conducted independently, released as open-source work, and was not produced as part</w:t>
            </w:r>
            <w:r>
              <w:t xml:space="preserve"> </w:t>
            </w:r>
            <w:r>
              <w:t xml:space="preserve">of, or in support of, any paid consulting engagement.</w:t>
            </w:r>
          </w:p>
          <w:p>
            <w:pPr>
              <w:jc w:val="left"/>
            </w:pPr>
            <w:r>
              <w:t xml:space="preserve">No other competing interests are declared.</w:t>
            </w:r>
            <w:r>
              <w:t xml:space="preserve"> </w:t>
            </w:r>
            <w:r>
              <w:t xml:space="preserve">If there are other authors, they declare that they have no known competing financial interests or personal relationships that could have appeared to influence the work reported in this paper.</w:t>
            </w:r>
          </w:p>
        </w:tc>
      </w:tr>
    </w:tbl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2026-01-05T21:45:43Z</dcterms:created>
  <dcterms:modified xsi:type="dcterms:W3CDTF">2026-01-05T21:45:43Z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