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1E0F3" w14:textId="77777777" w:rsidR="007F68D3" w:rsidRDefault="00000000">
      <w:pPr>
        <w:spacing w:after="200"/>
        <w:jc w:val="center"/>
      </w:pPr>
      <w:r>
        <w:rPr>
          <w:b/>
          <w:bCs/>
          <w:sz w:val="32"/>
          <w:szCs w:val="32"/>
        </w:rPr>
        <w:t>ONLINE RESOURCE S2</w:t>
      </w:r>
    </w:p>
    <w:p w14:paraId="050F973C" w14:textId="77777777" w:rsidR="007F68D3" w:rsidRDefault="00000000">
      <w:pPr>
        <w:spacing w:after="200"/>
        <w:jc w:val="center"/>
      </w:pPr>
      <w:r>
        <w:rPr>
          <w:b/>
          <w:bCs/>
          <w:sz w:val="28"/>
          <w:szCs w:val="28"/>
        </w:rPr>
        <w:t>Stochastic Avoidance and Outbreak Probability Analysis</w:t>
      </w:r>
    </w:p>
    <w:p w14:paraId="42297AD1" w14:textId="77777777" w:rsidR="007F68D3" w:rsidRDefault="007F68D3">
      <w:pPr>
        <w:spacing w:after="300"/>
      </w:pPr>
    </w:p>
    <w:p w14:paraId="4C59693C" w14:textId="77777777" w:rsidR="007F68D3" w:rsidRDefault="00000000">
      <w:pPr>
        <w:spacing w:after="200"/>
        <w:jc w:val="center"/>
      </w:pPr>
      <w:r>
        <w:rPr>
          <w:i/>
          <w:iCs/>
        </w:rPr>
        <w:t>Structural Barriers, Stochastic Avoidance, and Outbreak Risk in HIV Prevention for PWID</w:t>
      </w:r>
    </w:p>
    <w:p w14:paraId="1D26FD50" w14:textId="77777777" w:rsidR="007F68D3" w:rsidRDefault="00000000">
      <w:pPr>
        <w:spacing w:after="400"/>
        <w:jc w:val="center"/>
      </w:pPr>
      <w:r>
        <w:t>AC Demidont, DO — Nyx Dynamics LLC</w:t>
      </w:r>
    </w:p>
    <w:p w14:paraId="7BD0A9B8" w14:textId="77777777" w:rsidR="007F68D3" w:rsidRDefault="00000000">
      <w:pPr>
        <w:spacing w:before="200" w:after="200"/>
      </w:pPr>
      <w:r>
        <w:rPr>
          <w:b/>
          <w:bCs/>
        </w:rPr>
        <w:t>Contents</w:t>
      </w:r>
    </w:p>
    <w:p w14:paraId="0F0BF8E0" w14:textId="77777777" w:rsidR="007F68D3" w:rsidRDefault="00000000">
      <w:pPr>
        <w:spacing w:after="100"/>
      </w:pPr>
      <w:r>
        <w:t>S2.1 Stochastic Avoidance Conceptual Framework</w:t>
      </w:r>
    </w:p>
    <w:p w14:paraId="5957549B" w14:textId="77777777" w:rsidR="007F68D3" w:rsidRDefault="00000000">
      <w:pPr>
        <w:spacing w:after="100"/>
      </w:pPr>
      <w:r>
        <w:t>S2.2 Network Density Model</w:t>
      </w:r>
    </w:p>
    <w:p w14:paraId="0655B719" w14:textId="77777777" w:rsidR="007F68D3" w:rsidRDefault="00000000">
      <w:pPr>
        <w:spacing w:after="100"/>
      </w:pPr>
      <w:r>
        <w:t>S2.3 Outbreak Probability Calculation</w:t>
      </w:r>
    </w:p>
    <w:p w14:paraId="215DE611" w14:textId="77777777" w:rsidR="007F68D3" w:rsidRDefault="00000000">
      <w:pPr>
        <w:spacing w:after="100"/>
      </w:pPr>
      <w:r>
        <w:t>S2.4 Model Parameters</w:t>
      </w:r>
    </w:p>
    <w:p w14:paraId="2A4FE58E" w14:textId="77777777" w:rsidR="007F68D3" w:rsidRDefault="00000000">
      <w:pPr>
        <w:spacing w:after="100"/>
      </w:pPr>
      <w:r>
        <w:t>S2.5 National Outbreak Forecast</w:t>
      </w:r>
    </w:p>
    <w:p w14:paraId="56264815" w14:textId="77777777" w:rsidR="007F68D3" w:rsidRDefault="00000000">
      <w:pPr>
        <w:spacing w:after="100"/>
      </w:pPr>
      <w:r>
        <w:t>S2.6 Regional Heterogeneity</w:t>
      </w:r>
    </w:p>
    <w:p w14:paraId="15A8431F" w14:textId="77777777" w:rsidR="007F68D3" w:rsidRDefault="00000000">
      <w:pPr>
        <w:spacing w:after="100"/>
      </w:pPr>
      <w:r>
        <w:t>S2.7 Tornado Analysis</w:t>
      </w:r>
    </w:p>
    <w:p w14:paraId="7323A88B" w14:textId="77777777" w:rsidR="007F68D3" w:rsidRDefault="00000000">
      <w:pPr>
        <w:spacing w:after="100"/>
      </w:pPr>
      <w:r>
        <w:t>S2.8 Policy Scenarios</w:t>
      </w:r>
    </w:p>
    <w:p w14:paraId="3A05C3BF" w14:textId="77777777" w:rsidR="007F68D3" w:rsidRDefault="00000000">
      <w:pPr>
        <w:spacing w:after="100"/>
      </w:pPr>
      <w:r>
        <w:t>S2.9 Supplementary Figures</w:t>
      </w:r>
    </w:p>
    <w:p w14:paraId="0A335BC5" w14:textId="77777777" w:rsidR="007F68D3" w:rsidRDefault="00000000">
      <w:pPr>
        <w:spacing w:after="100"/>
      </w:pPr>
      <w:r>
        <w:t>S2.10 References</w:t>
      </w:r>
    </w:p>
    <w:p w14:paraId="6F543ED3" w14:textId="77777777" w:rsidR="007F68D3" w:rsidRDefault="00000000">
      <w:r>
        <w:br w:type="page"/>
      </w:r>
    </w:p>
    <w:p w14:paraId="0DFB0F94" w14:textId="77777777" w:rsidR="007F68D3" w:rsidRDefault="00000000">
      <w:pPr>
        <w:spacing w:before="200" w:after="200"/>
      </w:pPr>
      <w:r>
        <w:rPr>
          <w:b/>
          <w:bCs/>
          <w:sz w:val="28"/>
          <w:szCs w:val="28"/>
        </w:rPr>
        <w:lastRenderedPageBreak/>
        <w:t>S2.1 Stochastic Avoidance Conceptual Framework</w:t>
      </w:r>
    </w:p>
    <w:p w14:paraId="73915C08" w14:textId="77777777" w:rsidR="007F68D3" w:rsidRDefault="00000000">
      <w:pPr>
        <w:spacing w:after="200" w:line="480" w:lineRule="auto"/>
      </w:pPr>
      <w:r>
        <w:t>The stochastic avoidance model quantifies the probability that HIV outbreaks among PWID are avoided through probabilistic non-transmission rather than active intervention. This framework captures the hypothesis that current "prevention" relies on network density remaining below critical thresholds rather than pharmaceutical interventions achieving sustained R</w:t>
      </w:r>
      <w:r>
        <w:rPr>
          <w:vertAlign w:val="superscript"/>
        </w:rPr>
        <w:t>0</w:t>
      </w:r>
      <w:r>
        <w:t>=0.</w:t>
      </w:r>
    </w:p>
    <w:p w14:paraId="2A8492BF" w14:textId="77777777" w:rsidR="007F68D3" w:rsidRDefault="00000000">
      <w:pPr>
        <w:spacing w:after="200" w:line="480" w:lineRule="auto"/>
      </w:pPr>
      <w:r>
        <w:t>Stochastic avoidance is defined as prevention arising from instances where exposure events did not result in infection despite absence of effective prevention. As network density and exposure frequency increase, the cumulative probability of transmission approaches one, making stochastic avoidance increasingly unstable.</w:t>
      </w:r>
    </w:p>
    <w:p w14:paraId="3AFE7C2F" w14:textId="77777777" w:rsidR="007F68D3" w:rsidRDefault="00000000">
      <w:pPr>
        <w:spacing w:before="200" w:after="200"/>
      </w:pPr>
      <w:r>
        <w:rPr>
          <w:b/>
          <w:bCs/>
          <w:sz w:val="28"/>
          <w:szCs w:val="28"/>
        </w:rPr>
        <w:t>S2.2 Network Density Model</w:t>
      </w:r>
    </w:p>
    <w:p w14:paraId="4FEEE5E6" w14:textId="77777777" w:rsidR="007F68D3" w:rsidRDefault="00000000">
      <w:pPr>
        <w:spacing w:after="200" w:line="480" w:lineRule="auto"/>
      </w:pPr>
      <w:r>
        <w:t>Effective network density ρ(t) was modeled as:</w:t>
      </w:r>
    </w:p>
    <w:p w14:paraId="1AF685B1" w14:textId="77777777" w:rsidR="007F68D3" w:rsidRDefault="00000000">
      <w:pPr>
        <w:spacing w:after="200" w:line="480" w:lineRule="auto"/>
        <w:jc w:val="center"/>
      </w:pPr>
      <w:r>
        <w:rPr>
          <w:i/>
          <w:iCs/>
        </w:rPr>
        <w:t>ρ(t) = ρ₀ + M × C(t) + 0.5 × H</w:t>
      </w:r>
    </w:p>
    <w:p w14:paraId="7E73A8AB" w14:textId="77777777" w:rsidR="007F68D3" w:rsidRDefault="00000000">
      <w:pPr>
        <w:spacing w:after="200" w:line="480" w:lineRule="auto"/>
      </w:pPr>
      <w:r>
        <w:t>Where ρ₀ = baseline density (0.15), C(t) = contextual driver, M = network expansion multiplier (2.5), H = housing instability (0.685). The contextual driver C(t) represents exogenous structural factors affecting network connectivity, parameterized using observed trends in stimulant-associated network expansion from outbreak investigations; it is treated as a contextual modifier rather than an individual-level behavioral determinant.</w:t>
      </w:r>
    </w:p>
    <w:p w14:paraId="361AB25D" w14:textId="77777777" w:rsidR="007F68D3" w:rsidRDefault="00000000">
      <w:pPr>
        <w:spacing w:before="200" w:after="200"/>
      </w:pPr>
      <w:r>
        <w:rPr>
          <w:b/>
          <w:bCs/>
          <w:sz w:val="28"/>
          <w:szCs w:val="28"/>
        </w:rPr>
        <w:t>S2.3 Outbreak Probability Calculation</w:t>
      </w:r>
    </w:p>
    <w:p w14:paraId="39397892" w14:textId="77777777" w:rsidR="007F68D3" w:rsidRDefault="00000000">
      <w:pPr>
        <w:spacing w:after="200" w:line="480" w:lineRule="auto"/>
        <w:jc w:val="center"/>
      </w:pPr>
      <w:r>
        <w:rPr>
          <w:i/>
          <w:iCs/>
        </w:rPr>
        <w:t xml:space="preserve">P_outbreak(ρ) = P₀ × </w:t>
      </w:r>
      <w:proofErr w:type="gramStart"/>
      <w:r>
        <w:rPr>
          <w:i/>
          <w:iCs/>
        </w:rPr>
        <w:t>exp(</w:t>
      </w:r>
      <w:proofErr w:type="gramEnd"/>
      <w:r>
        <w:rPr>
          <w:i/>
          <w:iCs/>
        </w:rPr>
        <w:t xml:space="preserve">3 × </w:t>
      </w:r>
      <w:proofErr w:type="gramStart"/>
      <w:r>
        <w:rPr>
          <w:i/>
          <w:iCs/>
        </w:rPr>
        <w:t>max(</w:t>
      </w:r>
      <w:proofErr w:type="gramEnd"/>
      <w:r>
        <w:rPr>
          <w:i/>
          <w:iCs/>
        </w:rPr>
        <w:t>0, ρ - ρ_crit)) × (1 - SSP × 0.4) × (1 - OAT × 0.3)</w:t>
      </w:r>
    </w:p>
    <w:p w14:paraId="6CD34A42" w14:textId="77777777" w:rsidR="007F68D3" w:rsidRDefault="00000000">
      <w:pPr>
        <w:spacing w:after="200" w:line="480" w:lineRule="auto"/>
      </w:pPr>
      <w:r>
        <w:lastRenderedPageBreak/>
        <w:t>Where P₀ = 0.03, ρ_crit = 0.35, SSP = 0.21, OAT = 0.08. For each simulation (n=2,000), we iterate annually, calculating density and outbreak probability until outbreak occurs or 20-year horizon.</w:t>
      </w:r>
    </w:p>
    <w:p w14:paraId="00D4C249" w14:textId="77777777" w:rsidR="007F68D3" w:rsidRDefault="00000000">
      <w:r>
        <w:br w:type="page"/>
      </w:r>
    </w:p>
    <w:p w14:paraId="7D2E2B2E" w14:textId="77777777" w:rsidR="007F68D3" w:rsidRDefault="00000000">
      <w:pPr>
        <w:spacing w:before="200" w:after="200"/>
      </w:pPr>
      <w:r>
        <w:rPr>
          <w:b/>
          <w:bCs/>
          <w:sz w:val="28"/>
          <w:szCs w:val="28"/>
        </w:rPr>
        <w:lastRenderedPageBreak/>
        <w:t>S2.4 Model Parameters</w:t>
      </w:r>
    </w:p>
    <w:p w14:paraId="6F3B7A8C" w14:textId="77777777" w:rsidR="007F68D3" w:rsidRDefault="00000000">
      <w:pPr>
        <w:spacing w:after="200"/>
      </w:pPr>
      <w:r>
        <w:rPr>
          <w:b/>
          <w:bCs/>
        </w:rPr>
        <w:t xml:space="preserve">Table S2.1. </w:t>
      </w:r>
      <w:r>
        <w:t>Stochastic Avoidance Model Parameters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0"/>
        <w:gridCol w:w="1151"/>
        <w:gridCol w:w="1433"/>
        <w:gridCol w:w="2534"/>
      </w:tblGrid>
      <w:tr w:rsidR="007F68D3" w14:paraId="4580206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7D93562" w14:textId="77777777" w:rsidR="007F68D3" w:rsidRDefault="00000000">
            <w:r>
              <w:rPr>
                <w:b/>
                <w:bCs/>
              </w:rPr>
              <w:t>Parameter</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42E1D96D" w14:textId="77777777" w:rsidR="007F68D3" w:rsidRDefault="00000000">
            <w:r>
              <w:rPr>
                <w:b/>
                <w:bCs/>
              </w:rPr>
              <w:t>Value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D5F08DB" w14:textId="77777777" w:rsidR="007F68D3" w:rsidRDefault="00000000">
            <w:r>
              <w:rPr>
                <w:b/>
                <w:bCs/>
              </w:rPr>
              <w:t>Range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71E3A6BA" w14:textId="77777777" w:rsidR="007F68D3" w:rsidRDefault="00000000">
            <w:r>
              <w:rPr>
                <w:b/>
                <w:bCs/>
              </w:rPr>
              <w:t>Source</w:t>
            </w:r>
          </w:p>
        </w:tc>
      </w:tr>
      <w:tr w:rsidR="007F68D3" w14:paraId="68BE0F54"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F692DB2" w14:textId="77777777" w:rsidR="007F68D3" w:rsidRDefault="00000000">
            <w:r>
              <w:t>Baseline network density (ρ₀)</w:t>
            </w:r>
          </w:p>
        </w:tc>
        <w:tc>
          <w:tcPr>
            <w:tcW w:w="0" w:type="auto"/>
            <w:tcBorders>
              <w:top w:val="single" w:sz="1" w:space="0" w:color="000000"/>
              <w:left w:val="single" w:sz="1" w:space="0" w:color="000000"/>
              <w:bottom w:val="single" w:sz="1" w:space="0" w:color="000000"/>
              <w:right w:val="single" w:sz="1" w:space="0" w:color="000000"/>
            </w:tcBorders>
          </w:tcPr>
          <w:p w14:paraId="610AEAAA" w14:textId="77777777" w:rsidR="007F68D3" w:rsidRDefault="00000000">
            <w:pPr>
              <w:jc w:val="center"/>
            </w:pPr>
            <w:r>
              <w:t>0.15</w:t>
            </w:r>
          </w:p>
        </w:tc>
        <w:tc>
          <w:tcPr>
            <w:tcW w:w="0" w:type="auto"/>
            <w:tcBorders>
              <w:top w:val="single" w:sz="1" w:space="0" w:color="000000"/>
              <w:left w:val="single" w:sz="1" w:space="0" w:color="000000"/>
              <w:bottom w:val="single" w:sz="1" w:space="0" w:color="000000"/>
              <w:right w:val="single" w:sz="1" w:space="0" w:color="000000"/>
            </w:tcBorders>
          </w:tcPr>
          <w:p w14:paraId="7AD97643" w14:textId="77777777" w:rsidR="007F68D3" w:rsidRDefault="00000000">
            <w:pPr>
              <w:jc w:val="center"/>
            </w:pPr>
            <w:r>
              <w:t>0.08–0.25</w:t>
            </w:r>
          </w:p>
        </w:tc>
        <w:tc>
          <w:tcPr>
            <w:tcW w:w="0" w:type="auto"/>
            <w:tcBorders>
              <w:top w:val="single" w:sz="1" w:space="0" w:color="000000"/>
              <w:left w:val="single" w:sz="1" w:space="0" w:color="000000"/>
              <w:bottom w:val="single" w:sz="1" w:space="0" w:color="000000"/>
              <w:right w:val="single" w:sz="1" w:space="0" w:color="000000"/>
            </w:tcBorders>
          </w:tcPr>
          <w:p w14:paraId="039AE7DF" w14:textId="77777777" w:rsidR="007F68D3" w:rsidRDefault="00000000">
            <w:r>
              <w:t>Model calibration</w:t>
            </w:r>
          </w:p>
        </w:tc>
      </w:tr>
      <w:tr w:rsidR="007F68D3" w14:paraId="2360EC6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E5F07FE" w14:textId="77777777" w:rsidR="007F68D3" w:rsidRDefault="00000000">
            <w:r>
              <w:t>Contextual driver baseline</w:t>
            </w:r>
          </w:p>
        </w:tc>
        <w:tc>
          <w:tcPr>
            <w:tcW w:w="0" w:type="auto"/>
            <w:tcBorders>
              <w:top w:val="single" w:sz="1" w:space="0" w:color="000000"/>
              <w:left w:val="single" w:sz="1" w:space="0" w:color="000000"/>
              <w:bottom w:val="single" w:sz="1" w:space="0" w:color="000000"/>
              <w:right w:val="single" w:sz="1" w:space="0" w:color="000000"/>
            </w:tcBorders>
          </w:tcPr>
          <w:p w14:paraId="7EC28C7D" w14:textId="77777777" w:rsidR="007F68D3" w:rsidRDefault="00000000">
            <w:pPr>
              <w:jc w:val="center"/>
            </w:pPr>
            <w:r>
              <w:t>0.143</w:t>
            </w:r>
          </w:p>
        </w:tc>
        <w:tc>
          <w:tcPr>
            <w:tcW w:w="0" w:type="auto"/>
            <w:tcBorders>
              <w:top w:val="single" w:sz="1" w:space="0" w:color="000000"/>
              <w:left w:val="single" w:sz="1" w:space="0" w:color="000000"/>
              <w:bottom w:val="single" w:sz="1" w:space="0" w:color="000000"/>
              <w:right w:val="single" w:sz="1" w:space="0" w:color="000000"/>
            </w:tcBorders>
          </w:tcPr>
          <w:p w14:paraId="089482DC" w14:textId="77777777" w:rsidR="007F68D3" w:rsidRDefault="00000000">
            <w:pPr>
              <w:jc w:val="center"/>
            </w:pPr>
            <w:r>
              <w:t>—</w:t>
            </w:r>
          </w:p>
        </w:tc>
        <w:tc>
          <w:tcPr>
            <w:tcW w:w="0" w:type="auto"/>
            <w:tcBorders>
              <w:top w:val="single" w:sz="1" w:space="0" w:color="000000"/>
              <w:left w:val="single" w:sz="1" w:space="0" w:color="000000"/>
              <w:bottom w:val="single" w:sz="1" w:space="0" w:color="000000"/>
              <w:right w:val="single" w:sz="1" w:space="0" w:color="000000"/>
            </w:tcBorders>
          </w:tcPr>
          <w:p w14:paraId="446CF788" w14:textId="77777777" w:rsidR="007F68D3" w:rsidRDefault="00000000">
            <w:r>
              <w:t>[16]</w:t>
            </w:r>
          </w:p>
        </w:tc>
      </w:tr>
      <w:tr w:rsidR="007F68D3" w14:paraId="2473F49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85B1180" w14:textId="77777777" w:rsidR="007F68D3" w:rsidRDefault="00000000">
            <w:r>
              <w:t>Contextual driver growth</w:t>
            </w:r>
          </w:p>
        </w:tc>
        <w:tc>
          <w:tcPr>
            <w:tcW w:w="0" w:type="auto"/>
            <w:tcBorders>
              <w:top w:val="single" w:sz="1" w:space="0" w:color="000000"/>
              <w:left w:val="single" w:sz="1" w:space="0" w:color="000000"/>
              <w:bottom w:val="single" w:sz="1" w:space="0" w:color="000000"/>
              <w:right w:val="single" w:sz="1" w:space="0" w:color="000000"/>
            </w:tcBorders>
          </w:tcPr>
          <w:p w14:paraId="38BB37AA" w14:textId="77777777" w:rsidR="007F68D3" w:rsidRDefault="00000000">
            <w:pPr>
              <w:jc w:val="center"/>
            </w:pPr>
            <w:r>
              <w:t>2.5%/yr</w:t>
            </w:r>
          </w:p>
        </w:tc>
        <w:tc>
          <w:tcPr>
            <w:tcW w:w="0" w:type="auto"/>
            <w:tcBorders>
              <w:top w:val="single" w:sz="1" w:space="0" w:color="000000"/>
              <w:left w:val="single" w:sz="1" w:space="0" w:color="000000"/>
              <w:bottom w:val="single" w:sz="1" w:space="0" w:color="000000"/>
              <w:right w:val="single" w:sz="1" w:space="0" w:color="000000"/>
            </w:tcBorders>
          </w:tcPr>
          <w:p w14:paraId="01533846" w14:textId="77777777" w:rsidR="007F68D3" w:rsidRDefault="00000000">
            <w:pPr>
              <w:jc w:val="center"/>
            </w:pPr>
            <w:r>
              <w:t>1–5%</w:t>
            </w:r>
          </w:p>
        </w:tc>
        <w:tc>
          <w:tcPr>
            <w:tcW w:w="0" w:type="auto"/>
            <w:tcBorders>
              <w:top w:val="single" w:sz="1" w:space="0" w:color="000000"/>
              <w:left w:val="single" w:sz="1" w:space="0" w:color="000000"/>
              <w:bottom w:val="single" w:sz="1" w:space="0" w:color="000000"/>
              <w:right w:val="single" w:sz="1" w:space="0" w:color="000000"/>
            </w:tcBorders>
          </w:tcPr>
          <w:p w14:paraId="70A27BCA" w14:textId="77777777" w:rsidR="007F68D3" w:rsidRDefault="00000000">
            <w:r>
              <w:t>[16,17]</w:t>
            </w:r>
          </w:p>
        </w:tc>
      </w:tr>
      <w:tr w:rsidR="007F68D3" w14:paraId="0E6B2334"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F7AFBA2" w14:textId="77777777" w:rsidR="007F68D3" w:rsidRDefault="00000000">
            <w:r>
              <w:t>Network expansion multiplier</w:t>
            </w:r>
          </w:p>
        </w:tc>
        <w:tc>
          <w:tcPr>
            <w:tcW w:w="0" w:type="auto"/>
            <w:tcBorders>
              <w:top w:val="single" w:sz="1" w:space="0" w:color="000000"/>
              <w:left w:val="single" w:sz="1" w:space="0" w:color="000000"/>
              <w:bottom w:val="single" w:sz="1" w:space="0" w:color="000000"/>
              <w:right w:val="single" w:sz="1" w:space="0" w:color="000000"/>
            </w:tcBorders>
          </w:tcPr>
          <w:p w14:paraId="7C1420DB" w14:textId="77777777" w:rsidR="007F68D3" w:rsidRDefault="00000000">
            <w:pPr>
              <w:jc w:val="center"/>
            </w:pPr>
            <w:r>
              <w:t>2.5</w:t>
            </w:r>
          </w:p>
        </w:tc>
        <w:tc>
          <w:tcPr>
            <w:tcW w:w="0" w:type="auto"/>
            <w:tcBorders>
              <w:top w:val="single" w:sz="1" w:space="0" w:color="000000"/>
              <w:left w:val="single" w:sz="1" w:space="0" w:color="000000"/>
              <w:bottom w:val="single" w:sz="1" w:space="0" w:color="000000"/>
              <w:right w:val="single" w:sz="1" w:space="0" w:color="000000"/>
            </w:tcBorders>
          </w:tcPr>
          <w:p w14:paraId="2B3D7BCE" w14:textId="77777777" w:rsidR="007F68D3" w:rsidRDefault="00000000">
            <w:pPr>
              <w:jc w:val="center"/>
            </w:pPr>
            <w:r>
              <w:t>1.5–4.0</w:t>
            </w:r>
          </w:p>
        </w:tc>
        <w:tc>
          <w:tcPr>
            <w:tcW w:w="0" w:type="auto"/>
            <w:tcBorders>
              <w:top w:val="single" w:sz="1" w:space="0" w:color="000000"/>
              <w:left w:val="single" w:sz="1" w:space="0" w:color="000000"/>
              <w:bottom w:val="single" w:sz="1" w:space="0" w:color="000000"/>
              <w:right w:val="single" w:sz="1" w:space="0" w:color="000000"/>
            </w:tcBorders>
          </w:tcPr>
          <w:p w14:paraId="70C34641" w14:textId="77777777" w:rsidR="007F68D3" w:rsidRDefault="00000000">
            <w:r>
              <w:t>[9,10]</w:t>
            </w:r>
          </w:p>
        </w:tc>
      </w:tr>
      <w:tr w:rsidR="007F68D3" w14:paraId="3DDEF34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F323178" w14:textId="77777777" w:rsidR="007F68D3" w:rsidRDefault="00000000">
            <w:r>
              <w:t>Critical threshold (ρ_crit)</w:t>
            </w:r>
          </w:p>
        </w:tc>
        <w:tc>
          <w:tcPr>
            <w:tcW w:w="0" w:type="auto"/>
            <w:tcBorders>
              <w:top w:val="single" w:sz="1" w:space="0" w:color="000000"/>
              <w:left w:val="single" w:sz="1" w:space="0" w:color="000000"/>
              <w:bottom w:val="single" w:sz="1" w:space="0" w:color="000000"/>
              <w:right w:val="single" w:sz="1" w:space="0" w:color="000000"/>
            </w:tcBorders>
          </w:tcPr>
          <w:p w14:paraId="03A0AF8D" w14:textId="77777777" w:rsidR="007F68D3" w:rsidRDefault="00000000">
            <w:pPr>
              <w:jc w:val="center"/>
            </w:pPr>
            <w:r>
              <w:t>0.35</w:t>
            </w:r>
          </w:p>
        </w:tc>
        <w:tc>
          <w:tcPr>
            <w:tcW w:w="0" w:type="auto"/>
            <w:tcBorders>
              <w:top w:val="single" w:sz="1" w:space="0" w:color="000000"/>
              <w:left w:val="single" w:sz="1" w:space="0" w:color="000000"/>
              <w:bottom w:val="single" w:sz="1" w:space="0" w:color="000000"/>
              <w:right w:val="single" w:sz="1" w:space="0" w:color="000000"/>
            </w:tcBorders>
          </w:tcPr>
          <w:p w14:paraId="467B575D" w14:textId="77777777" w:rsidR="007F68D3" w:rsidRDefault="00000000">
            <w:pPr>
              <w:jc w:val="center"/>
            </w:pPr>
            <w:r>
              <w:t>0.25–0.45</w:t>
            </w:r>
          </w:p>
        </w:tc>
        <w:tc>
          <w:tcPr>
            <w:tcW w:w="0" w:type="auto"/>
            <w:tcBorders>
              <w:top w:val="single" w:sz="1" w:space="0" w:color="000000"/>
              <w:left w:val="single" w:sz="1" w:space="0" w:color="000000"/>
              <w:bottom w:val="single" w:sz="1" w:space="0" w:color="000000"/>
              <w:right w:val="single" w:sz="1" w:space="0" w:color="000000"/>
            </w:tcBorders>
          </w:tcPr>
          <w:p w14:paraId="04D36BE5" w14:textId="77777777" w:rsidR="007F68D3" w:rsidRDefault="00000000">
            <w:r>
              <w:t>[10]</w:t>
            </w:r>
          </w:p>
        </w:tc>
      </w:tr>
      <w:tr w:rsidR="007F68D3" w14:paraId="5036AAD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2D26CDE5" w14:textId="77777777" w:rsidR="007F68D3" w:rsidRDefault="00000000">
            <w:r>
              <w:t>Baseline outbreak prob (P₀)</w:t>
            </w:r>
          </w:p>
        </w:tc>
        <w:tc>
          <w:tcPr>
            <w:tcW w:w="0" w:type="auto"/>
            <w:tcBorders>
              <w:top w:val="single" w:sz="1" w:space="0" w:color="000000"/>
              <w:left w:val="single" w:sz="1" w:space="0" w:color="000000"/>
              <w:bottom w:val="single" w:sz="1" w:space="0" w:color="000000"/>
              <w:right w:val="single" w:sz="1" w:space="0" w:color="000000"/>
            </w:tcBorders>
          </w:tcPr>
          <w:p w14:paraId="44B59665" w14:textId="77777777" w:rsidR="007F68D3" w:rsidRDefault="00000000">
            <w:pPr>
              <w:jc w:val="center"/>
            </w:pPr>
            <w:r>
              <w:t>0.03</w:t>
            </w:r>
          </w:p>
        </w:tc>
        <w:tc>
          <w:tcPr>
            <w:tcW w:w="0" w:type="auto"/>
            <w:tcBorders>
              <w:top w:val="single" w:sz="1" w:space="0" w:color="000000"/>
              <w:left w:val="single" w:sz="1" w:space="0" w:color="000000"/>
              <w:bottom w:val="single" w:sz="1" w:space="0" w:color="000000"/>
              <w:right w:val="single" w:sz="1" w:space="0" w:color="000000"/>
            </w:tcBorders>
          </w:tcPr>
          <w:p w14:paraId="0557701F" w14:textId="77777777" w:rsidR="007F68D3" w:rsidRDefault="00000000">
            <w:pPr>
              <w:jc w:val="center"/>
            </w:pPr>
            <w:r>
              <w:t>0.01–0.08</w:t>
            </w:r>
          </w:p>
        </w:tc>
        <w:tc>
          <w:tcPr>
            <w:tcW w:w="0" w:type="auto"/>
            <w:tcBorders>
              <w:top w:val="single" w:sz="1" w:space="0" w:color="000000"/>
              <w:left w:val="single" w:sz="1" w:space="0" w:color="000000"/>
              <w:bottom w:val="single" w:sz="1" w:space="0" w:color="000000"/>
              <w:right w:val="single" w:sz="1" w:space="0" w:color="000000"/>
            </w:tcBorders>
          </w:tcPr>
          <w:p w14:paraId="0674F70F" w14:textId="77777777" w:rsidR="007F68D3" w:rsidRDefault="00000000">
            <w:r>
              <w:t>[17,18]</w:t>
            </w:r>
          </w:p>
        </w:tc>
      </w:tr>
      <w:tr w:rsidR="007F68D3" w14:paraId="136A4E4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C455412" w14:textId="77777777" w:rsidR="007F68D3" w:rsidRDefault="00000000">
            <w:r>
              <w:t>Housing instability</w:t>
            </w:r>
          </w:p>
        </w:tc>
        <w:tc>
          <w:tcPr>
            <w:tcW w:w="0" w:type="auto"/>
            <w:tcBorders>
              <w:top w:val="single" w:sz="1" w:space="0" w:color="000000"/>
              <w:left w:val="single" w:sz="1" w:space="0" w:color="000000"/>
              <w:bottom w:val="single" w:sz="1" w:space="0" w:color="000000"/>
              <w:right w:val="single" w:sz="1" w:space="0" w:color="000000"/>
            </w:tcBorders>
          </w:tcPr>
          <w:p w14:paraId="6AB71F70" w14:textId="77777777" w:rsidR="007F68D3" w:rsidRDefault="00000000">
            <w:pPr>
              <w:jc w:val="center"/>
            </w:pPr>
            <w:r>
              <w:t>0.685</w:t>
            </w:r>
          </w:p>
        </w:tc>
        <w:tc>
          <w:tcPr>
            <w:tcW w:w="0" w:type="auto"/>
            <w:tcBorders>
              <w:top w:val="single" w:sz="1" w:space="0" w:color="000000"/>
              <w:left w:val="single" w:sz="1" w:space="0" w:color="000000"/>
              <w:bottom w:val="single" w:sz="1" w:space="0" w:color="000000"/>
              <w:right w:val="single" w:sz="1" w:space="0" w:color="000000"/>
            </w:tcBorders>
          </w:tcPr>
          <w:p w14:paraId="0E3DF0EB" w14:textId="77777777" w:rsidR="007F68D3" w:rsidRDefault="00000000">
            <w:pPr>
              <w:jc w:val="center"/>
            </w:pPr>
            <w:r>
              <w:t>0.55–0.80</w:t>
            </w:r>
          </w:p>
        </w:tc>
        <w:tc>
          <w:tcPr>
            <w:tcW w:w="0" w:type="auto"/>
            <w:tcBorders>
              <w:top w:val="single" w:sz="1" w:space="0" w:color="000000"/>
              <w:left w:val="single" w:sz="1" w:space="0" w:color="000000"/>
              <w:bottom w:val="single" w:sz="1" w:space="0" w:color="000000"/>
              <w:right w:val="single" w:sz="1" w:space="0" w:color="000000"/>
            </w:tcBorders>
          </w:tcPr>
          <w:p w14:paraId="79502A0E" w14:textId="77777777" w:rsidR="007F68D3" w:rsidRDefault="00000000">
            <w:r>
              <w:t>[15]</w:t>
            </w:r>
          </w:p>
        </w:tc>
      </w:tr>
      <w:tr w:rsidR="007F68D3" w14:paraId="19482E2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048CE21" w14:textId="77777777" w:rsidR="007F68D3" w:rsidRDefault="00000000">
            <w:r>
              <w:t>SSP coverage</w:t>
            </w:r>
          </w:p>
        </w:tc>
        <w:tc>
          <w:tcPr>
            <w:tcW w:w="0" w:type="auto"/>
            <w:tcBorders>
              <w:top w:val="single" w:sz="1" w:space="0" w:color="000000"/>
              <w:left w:val="single" w:sz="1" w:space="0" w:color="000000"/>
              <w:bottom w:val="single" w:sz="1" w:space="0" w:color="000000"/>
              <w:right w:val="single" w:sz="1" w:space="0" w:color="000000"/>
            </w:tcBorders>
          </w:tcPr>
          <w:p w14:paraId="3418C2DF" w14:textId="77777777" w:rsidR="007F68D3" w:rsidRDefault="00000000">
            <w:pPr>
              <w:jc w:val="center"/>
            </w:pPr>
            <w:r>
              <w:t>0.21</w:t>
            </w:r>
          </w:p>
        </w:tc>
        <w:tc>
          <w:tcPr>
            <w:tcW w:w="0" w:type="auto"/>
            <w:tcBorders>
              <w:top w:val="single" w:sz="1" w:space="0" w:color="000000"/>
              <w:left w:val="single" w:sz="1" w:space="0" w:color="000000"/>
              <w:bottom w:val="single" w:sz="1" w:space="0" w:color="000000"/>
              <w:right w:val="single" w:sz="1" w:space="0" w:color="000000"/>
            </w:tcBorders>
          </w:tcPr>
          <w:p w14:paraId="34F8BAA8" w14:textId="77777777" w:rsidR="007F68D3" w:rsidRDefault="00000000">
            <w:pPr>
              <w:jc w:val="center"/>
            </w:pPr>
            <w:r>
              <w:t>0.15–0.30</w:t>
            </w:r>
          </w:p>
        </w:tc>
        <w:tc>
          <w:tcPr>
            <w:tcW w:w="0" w:type="auto"/>
            <w:tcBorders>
              <w:top w:val="single" w:sz="1" w:space="0" w:color="000000"/>
              <w:left w:val="single" w:sz="1" w:space="0" w:color="000000"/>
              <w:bottom w:val="single" w:sz="1" w:space="0" w:color="000000"/>
              <w:right w:val="single" w:sz="1" w:space="0" w:color="000000"/>
            </w:tcBorders>
          </w:tcPr>
          <w:p w14:paraId="451D8A1C" w14:textId="77777777" w:rsidR="007F68D3" w:rsidRDefault="00000000">
            <w:r>
              <w:t>[14]</w:t>
            </w:r>
          </w:p>
        </w:tc>
      </w:tr>
      <w:tr w:rsidR="007F68D3" w14:paraId="628713CE"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11FBA82" w14:textId="77777777" w:rsidR="007F68D3" w:rsidRDefault="00000000">
            <w:r>
              <w:t>OAT coverage</w:t>
            </w:r>
          </w:p>
        </w:tc>
        <w:tc>
          <w:tcPr>
            <w:tcW w:w="0" w:type="auto"/>
            <w:tcBorders>
              <w:top w:val="single" w:sz="1" w:space="0" w:color="000000"/>
              <w:left w:val="single" w:sz="1" w:space="0" w:color="000000"/>
              <w:bottom w:val="single" w:sz="1" w:space="0" w:color="000000"/>
              <w:right w:val="single" w:sz="1" w:space="0" w:color="000000"/>
            </w:tcBorders>
          </w:tcPr>
          <w:p w14:paraId="3942B803" w14:textId="77777777" w:rsidR="007F68D3" w:rsidRDefault="00000000">
            <w:pPr>
              <w:jc w:val="center"/>
            </w:pPr>
            <w:r>
              <w:t>0.08</w:t>
            </w:r>
          </w:p>
        </w:tc>
        <w:tc>
          <w:tcPr>
            <w:tcW w:w="0" w:type="auto"/>
            <w:tcBorders>
              <w:top w:val="single" w:sz="1" w:space="0" w:color="000000"/>
              <w:left w:val="single" w:sz="1" w:space="0" w:color="000000"/>
              <w:bottom w:val="single" w:sz="1" w:space="0" w:color="000000"/>
              <w:right w:val="single" w:sz="1" w:space="0" w:color="000000"/>
            </w:tcBorders>
          </w:tcPr>
          <w:p w14:paraId="4F9A1A11" w14:textId="77777777" w:rsidR="007F68D3" w:rsidRDefault="00000000">
            <w:pPr>
              <w:jc w:val="center"/>
            </w:pPr>
            <w:r>
              <w:t>0.04–0.15</w:t>
            </w:r>
          </w:p>
        </w:tc>
        <w:tc>
          <w:tcPr>
            <w:tcW w:w="0" w:type="auto"/>
            <w:tcBorders>
              <w:top w:val="single" w:sz="1" w:space="0" w:color="000000"/>
              <w:left w:val="single" w:sz="1" w:space="0" w:color="000000"/>
              <w:bottom w:val="single" w:sz="1" w:space="0" w:color="000000"/>
              <w:right w:val="single" w:sz="1" w:space="0" w:color="000000"/>
            </w:tcBorders>
          </w:tcPr>
          <w:p w14:paraId="65E6CE59" w14:textId="77777777" w:rsidR="007F68D3" w:rsidRDefault="00000000">
            <w:r>
              <w:t>[9]</w:t>
            </w:r>
          </w:p>
        </w:tc>
      </w:tr>
      <w:tr w:rsidR="007F68D3" w14:paraId="01C6F69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30FC01E" w14:textId="77777777" w:rsidR="007F68D3" w:rsidRDefault="00000000">
            <w:r>
              <w:t>Incarceration rate</w:t>
            </w:r>
          </w:p>
        </w:tc>
        <w:tc>
          <w:tcPr>
            <w:tcW w:w="0" w:type="auto"/>
            <w:tcBorders>
              <w:top w:val="single" w:sz="1" w:space="0" w:color="000000"/>
              <w:left w:val="single" w:sz="1" w:space="0" w:color="000000"/>
              <w:bottom w:val="single" w:sz="1" w:space="0" w:color="000000"/>
              <w:right w:val="single" w:sz="1" w:space="0" w:color="000000"/>
            </w:tcBorders>
          </w:tcPr>
          <w:p w14:paraId="3E4A2986" w14:textId="77777777" w:rsidR="007F68D3" w:rsidRDefault="00000000">
            <w:pPr>
              <w:jc w:val="center"/>
            </w:pPr>
            <w:r>
              <w:t>0.30/yr</w:t>
            </w:r>
          </w:p>
        </w:tc>
        <w:tc>
          <w:tcPr>
            <w:tcW w:w="0" w:type="auto"/>
            <w:tcBorders>
              <w:top w:val="single" w:sz="1" w:space="0" w:color="000000"/>
              <w:left w:val="single" w:sz="1" w:space="0" w:color="000000"/>
              <w:bottom w:val="single" w:sz="1" w:space="0" w:color="000000"/>
              <w:right w:val="single" w:sz="1" w:space="0" w:color="000000"/>
            </w:tcBorders>
          </w:tcPr>
          <w:p w14:paraId="3E27BF70" w14:textId="77777777" w:rsidR="007F68D3" w:rsidRDefault="00000000">
            <w:pPr>
              <w:jc w:val="center"/>
            </w:pPr>
            <w:r>
              <w:t>0.20–0.45</w:t>
            </w:r>
          </w:p>
        </w:tc>
        <w:tc>
          <w:tcPr>
            <w:tcW w:w="0" w:type="auto"/>
            <w:tcBorders>
              <w:top w:val="single" w:sz="1" w:space="0" w:color="000000"/>
              <w:left w:val="single" w:sz="1" w:space="0" w:color="000000"/>
              <w:bottom w:val="single" w:sz="1" w:space="0" w:color="000000"/>
              <w:right w:val="single" w:sz="1" w:space="0" w:color="000000"/>
            </w:tcBorders>
          </w:tcPr>
          <w:p w14:paraId="15E809A7" w14:textId="77777777" w:rsidR="007F68D3" w:rsidRDefault="00000000">
            <w:r>
              <w:t>[3,4]</w:t>
            </w:r>
          </w:p>
        </w:tc>
      </w:tr>
    </w:tbl>
    <w:p w14:paraId="48EF4EDB" w14:textId="77777777" w:rsidR="007F68D3" w:rsidRDefault="00000000">
      <w:r>
        <w:br w:type="page"/>
      </w:r>
    </w:p>
    <w:p w14:paraId="1FB10A65" w14:textId="77777777" w:rsidR="007F68D3" w:rsidRDefault="00000000">
      <w:pPr>
        <w:spacing w:before="200" w:after="200"/>
      </w:pPr>
      <w:r>
        <w:rPr>
          <w:b/>
          <w:bCs/>
          <w:sz w:val="28"/>
          <w:szCs w:val="28"/>
        </w:rPr>
        <w:lastRenderedPageBreak/>
        <w:t>S2.5 National Outbreak Forecast</w:t>
      </w:r>
    </w:p>
    <w:p w14:paraId="65E87F35" w14:textId="77777777" w:rsidR="007F68D3" w:rsidRDefault="00000000">
      <w:pPr>
        <w:spacing w:after="200"/>
      </w:pPr>
      <w:r>
        <w:rPr>
          <w:b/>
          <w:bCs/>
        </w:rPr>
        <w:t xml:space="preserve">Table S2.2. </w:t>
      </w:r>
      <w:r>
        <w:t>National Forecast (n=2,000)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7"/>
        <w:gridCol w:w="4311"/>
      </w:tblGrid>
      <w:tr w:rsidR="007F68D3" w14:paraId="370F9F8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3650F23" w14:textId="77777777" w:rsidR="007F68D3" w:rsidRDefault="00000000">
            <w:r>
              <w:rPr>
                <w:b/>
                <w:bCs/>
              </w:rPr>
              <w:t>Metric</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7702875B" w14:textId="77777777" w:rsidR="007F68D3" w:rsidRDefault="00000000">
            <w:r>
              <w:rPr>
                <w:b/>
                <w:bCs/>
              </w:rPr>
              <w:t>Value</w:t>
            </w:r>
          </w:p>
        </w:tc>
      </w:tr>
      <w:tr w:rsidR="007F68D3" w14:paraId="651F42F6"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6D66CB7D" w14:textId="77777777" w:rsidR="007F68D3" w:rsidRDefault="00000000">
            <w:r>
              <w:t>Total simulations</w:t>
            </w:r>
          </w:p>
        </w:tc>
        <w:tc>
          <w:tcPr>
            <w:tcW w:w="0" w:type="auto"/>
            <w:tcBorders>
              <w:top w:val="single" w:sz="1" w:space="0" w:color="000000"/>
              <w:left w:val="single" w:sz="1" w:space="0" w:color="000000"/>
              <w:bottom w:val="single" w:sz="1" w:space="0" w:color="000000"/>
              <w:right w:val="single" w:sz="1" w:space="0" w:color="000000"/>
            </w:tcBorders>
          </w:tcPr>
          <w:p w14:paraId="1B995A05" w14:textId="77777777" w:rsidR="007F68D3" w:rsidRDefault="00000000">
            <w:pPr>
              <w:jc w:val="center"/>
            </w:pPr>
            <w:r>
              <w:t>2,000</w:t>
            </w:r>
          </w:p>
        </w:tc>
      </w:tr>
      <w:tr w:rsidR="007F68D3" w14:paraId="7FC89E6F"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B58CCB4" w14:textId="77777777" w:rsidR="007F68D3" w:rsidRDefault="00000000">
            <w:r>
              <w:t>Outbreaks</w:t>
            </w:r>
          </w:p>
        </w:tc>
        <w:tc>
          <w:tcPr>
            <w:tcW w:w="0" w:type="auto"/>
            <w:tcBorders>
              <w:top w:val="single" w:sz="1" w:space="0" w:color="000000"/>
              <w:left w:val="single" w:sz="1" w:space="0" w:color="000000"/>
              <w:bottom w:val="single" w:sz="1" w:space="0" w:color="000000"/>
              <w:right w:val="single" w:sz="1" w:space="0" w:color="000000"/>
            </w:tcBorders>
          </w:tcPr>
          <w:p w14:paraId="18B20077" w14:textId="77777777" w:rsidR="007F68D3" w:rsidRDefault="00000000">
            <w:pPr>
              <w:jc w:val="center"/>
            </w:pPr>
            <w:r>
              <w:t>1,943 (97.2%)</w:t>
            </w:r>
          </w:p>
        </w:tc>
      </w:tr>
      <w:tr w:rsidR="007F68D3" w14:paraId="658729F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E72F3EC" w14:textId="77777777" w:rsidR="007F68D3" w:rsidRDefault="00000000">
            <w:r>
              <w:t>Median years</w:t>
            </w:r>
          </w:p>
        </w:tc>
        <w:tc>
          <w:tcPr>
            <w:tcW w:w="0" w:type="auto"/>
            <w:tcBorders>
              <w:top w:val="single" w:sz="1" w:space="0" w:color="000000"/>
              <w:left w:val="single" w:sz="1" w:space="0" w:color="000000"/>
              <w:bottom w:val="single" w:sz="1" w:space="0" w:color="000000"/>
              <w:right w:val="single" w:sz="1" w:space="0" w:color="000000"/>
            </w:tcBorders>
          </w:tcPr>
          <w:p w14:paraId="2B047848" w14:textId="77777777" w:rsidR="007F68D3" w:rsidRDefault="00000000">
            <w:pPr>
              <w:jc w:val="center"/>
            </w:pPr>
            <w:r>
              <w:t>3.0</w:t>
            </w:r>
          </w:p>
        </w:tc>
      </w:tr>
      <w:tr w:rsidR="007F68D3" w14:paraId="45061EB7"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D60B67B" w14:textId="77777777" w:rsidR="007F68D3" w:rsidRDefault="00000000">
            <w:r>
              <w:t>Mean years</w:t>
            </w:r>
          </w:p>
        </w:tc>
        <w:tc>
          <w:tcPr>
            <w:tcW w:w="0" w:type="auto"/>
            <w:tcBorders>
              <w:top w:val="single" w:sz="1" w:space="0" w:color="000000"/>
              <w:left w:val="single" w:sz="1" w:space="0" w:color="000000"/>
              <w:bottom w:val="single" w:sz="1" w:space="0" w:color="000000"/>
              <w:right w:val="single" w:sz="1" w:space="0" w:color="000000"/>
            </w:tcBorders>
          </w:tcPr>
          <w:p w14:paraId="52453B70" w14:textId="77777777" w:rsidR="007F68D3" w:rsidRDefault="00000000">
            <w:pPr>
              <w:jc w:val="center"/>
            </w:pPr>
            <w:r>
              <w:t>3.79 (SD 3.71)</w:t>
            </w:r>
          </w:p>
        </w:tc>
      </w:tr>
      <w:tr w:rsidR="007F68D3" w14:paraId="77B92EE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6D522F5" w14:textId="77777777" w:rsidR="007F68D3" w:rsidRDefault="00000000">
            <w:r>
              <w:t>P(5-year)</w:t>
            </w:r>
          </w:p>
        </w:tc>
        <w:tc>
          <w:tcPr>
            <w:tcW w:w="0" w:type="auto"/>
            <w:tcBorders>
              <w:top w:val="single" w:sz="1" w:space="0" w:color="000000"/>
              <w:left w:val="single" w:sz="1" w:space="0" w:color="000000"/>
              <w:bottom w:val="single" w:sz="1" w:space="0" w:color="000000"/>
              <w:right w:val="single" w:sz="1" w:space="0" w:color="000000"/>
            </w:tcBorders>
          </w:tcPr>
          <w:p w14:paraId="09AAC7A1" w14:textId="77777777" w:rsidR="007F68D3" w:rsidRDefault="00000000">
            <w:pPr>
              <w:jc w:val="center"/>
            </w:pPr>
            <w:r>
              <w:t>73.8%</w:t>
            </w:r>
          </w:p>
        </w:tc>
      </w:tr>
      <w:tr w:rsidR="007F68D3" w14:paraId="2512697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649FFDC" w14:textId="77777777" w:rsidR="007F68D3" w:rsidRDefault="00000000">
            <w:r>
              <w:t>P(10-year)</w:t>
            </w:r>
          </w:p>
        </w:tc>
        <w:tc>
          <w:tcPr>
            <w:tcW w:w="0" w:type="auto"/>
            <w:tcBorders>
              <w:top w:val="single" w:sz="1" w:space="0" w:color="000000"/>
              <w:left w:val="single" w:sz="1" w:space="0" w:color="000000"/>
              <w:bottom w:val="single" w:sz="1" w:space="0" w:color="000000"/>
              <w:right w:val="single" w:sz="1" w:space="0" w:color="000000"/>
            </w:tcBorders>
          </w:tcPr>
          <w:p w14:paraId="2FE95298" w14:textId="77777777" w:rsidR="007F68D3" w:rsidRDefault="00000000">
            <w:pPr>
              <w:jc w:val="center"/>
            </w:pPr>
            <w:r>
              <w:t>92.7%</w:t>
            </w:r>
          </w:p>
        </w:tc>
      </w:tr>
    </w:tbl>
    <w:p w14:paraId="4E6592D6" w14:textId="77777777" w:rsidR="007F68D3" w:rsidRDefault="00000000">
      <w:pPr>
        <w:spacing w:before="300" w:after="200"/>
      </w:pPr>
      <w:r>
        <w:rPr>
          <w:b/>
          <w:bCs/>
          <w:sz w:val="28"/>
          <w:szCs w:val="28"/>
        </w:rPr>
        <w:t>S2.6 Regional Heterogeneity</w:t>
      </w:r>
    </w:p>
    <w:p w14:paraId="29BEFEF3" w14:textId="77777777" w:rsidR="007F68D3" w:rsidRDefault="00000000">
      <w:pPr>
        <w:spacing w:after="200"/>
      </w:pPr>
      <w:r>
        <w:rPr>
          <w:b/>
          <w:bCs/>
        </w:rPr>
        <w:t xml:space="preserve">Table S2.3. </w:t>
      </w:r>
      <w:r>
        <w:t>Regional Comparison (n=1,000 each)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1243"/>
        <w:gridCol w:w="1567"/>
        <w:gridCol w:w="1462"/>
        <w:gridCol w:w="1695"/>
      </w:tblGrid>
      <w:tr w:rsidR="007F68D3" w14:paraId="528CE71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F4776A3" w14:textId="77777777" w:rsidR="007F68D3" w:rsidRDefault="00000000">
            <w:pPr>
              <w:jc w:val="center"/>
            </w:pPr>
            <w:r>
              <w:rPr>
                <w:b/>
                <w:bCs/>
              </w:rPr>
              <w:t>Region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39F1433" w14:textId="77777777" w:rsidR="007F68D3" w:rsidRDefault="00000000">
            <w:pPr>
              <w:jc w:val="center"/>
            </w:pPr>
            <w:r>
              <w:rPr>
                <w:b/>
                <w:bCs/>
              </w:rPr>
              <w:t>Rate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8D698DB" w14:textId="77777777" w:rsidR="007F68D3" w:rsidRDefault="00000000">
            <w:pPr>
              <w:jc w:val="center"/>
            </w:pPr>
            <w:r>
              <w:rPr>
                <w:b/>
                <w:bCs/>
              </w:rPr>
              <w:t>Median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3BB2E978" w14:textId="77777777" w:rsidR="007F68D3" w:rsidRDefault="00000000">
            <w:pPr>
              <w:jc w:val="center"/>
            </w:pPr>
            <w:r>
              <w:rPr>
                <w:b/>
                <w:bCs/>
              </w:rPr>
              <w:t>P(5-yr)</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9B36740" w14:textId="77777777" w:rsidR="007F68D3" w:rsidRDefault="00000000">
            <w:pPr>
              <w:jc w:val="center"/>
            </w:pPr>
            <w:r>
              <w:rPr>
                <w:b/>
                <w:bCs/>
              </w:rPr>
              <w:t>P(10-yr)</w:t>
            </w:r>
          </w:p>
        </w:tc>
      </w:tr>
      <w:tr w:rsidR="007F68D3" w14:paraId="45B589A1"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28ABD05" w14:textId="77777777" w:rsidR="007F68D3" w:rsidRDefault="00000000">
            <w:r>
              <w:t>Pacific Northwest</w:t>
            </w:r>
          </w:p>
        </w:tc>
        <w:tc>
          <w:tcPr>
            <w:tcW w:w="0" w:type="auto"/>
            <w:tcBorders>
              <w:top w:val="single" w:sz="1" w:space="0" w:color="000000"/>
              <w:left w:val="single" w:sz="1" w:space="0" w:color="000000"/>
              <w:bottom w:val="single" w:sz="1" w:space="0" w:color="000000"/>
              <w:right w:val="single" w:sz="1" w:space="0" w:color="000000"/>
            </w:tcBorders>
          </w:tcPr>
          <w:p w14:paraId="1F8223DD" w14:textId="77777777" w:rsidR="007F68D3" w:rsidRDefault="00000000">
            <w:pPr>
              <w:jc w:val="center"/>
            </w:pPr>
            <w:r>
              <w:t>99.6%</w:t>
            </w:r>
          </w:p>
        </w:tc>
        <w:tc>
          <w:tcPr>
            <w:tcW w:w="0" w:type="auto"/>
            <w:tcBorders>
              <w:top w:val="single" w:sz="1" w:space="0" w:color="000000"/>
              <w:left w:val="single" w:sz="1" w:space="0" w:color="000000"/>
              <w:bottom w:val="single" w:sz="1" w:space="0" w:color="000000"/>
              <w:right w:val="single" w:sz="1" w:space="0" w:color="000000"/>
            </w:tcBorders>
          </w:tcPr>
          <w:p w14:paraId="5EA68DDB" w14:textId="77777777" w:rsidR="007F68D3" w:rsidRDefault="00000000">
            <w:pPr>
              <w:jc w:val="center"/>
            </w:pPr>
            <w:r>
              <w:t>2.0</w:t>
            </w:r>
          </w:p>
        </w:tc>
        <w:tc>
          <w:tcPr>
            <w:tcW w:w="0" w:type="auto"/>
            <w:tcBorders>
              <w:top w:val="single" w:sz="1" w:space="0" w:color="000000"/>
              <w:left w:val="single" w:sz="1" w:space="0" w:color="000000"/>
              <w:bottom w:val="single" w:sz="1" w:space="0" w:color="000000"/>
              <w:right w:val="single" w:sz="1" w:space="0" w:color="000000"/>
            </w:tcBorders>
          </w:tcPr>
          <w:p w14:paraId="369D00B9" w14:textId="77777777" w:rsidR="007F68D3" w:rsidRDefault="00000000">
            <w:pPr>
              <w:jc w:val="center"/>
            </w:pPr>
            <w:r>
              <w:t>86.3%</w:t>
            </w:r>
          </w:p>
        </w:tc>
        <w:tc>
          <w:tcPr>
            <w:tcW w:w="0" w:type="auto"/>
            <w:tcBorders>
              <w:top w:val="single" w:sz="1" w:space="0" w:color="000000"/>
              <w:left w:val="single" w:sz="1" w:space="0" w:color="000000"/>
              <w:bottom w:val="single" w:sz="1" w:space="0" w:color="000000"/>
              <w:right w:val="single" w:sz="1" w:space="0" w:color="000000"/>
            </w:tcBorders>
          </w:tcPr>
          <w:p w14:paraId="40317DD7" w14:textId="77777777" w:rsidR="007F68D3" w:rsidRDefault="00000000">
            <w:pPr>
              <w:jc w:val="center"/>
            </w:pPr>
            <w:r>
              <w:t>98.0%</w:t>
            </w:r>
          </w:p>
        </w:tc>
      </w:tr>
      <w:tr w:rsidR="007F68D3" w14:paraId="620DC826"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606DCE3D" w14:textId="77777777" w:rsidR="007F68D3" w:rsidRDefault="00000000">
            <w:r>
              <w:t>Appalachia</w:t>
            </w:r>
          </w:p>
        </w:tc>
        <w:tc>
          <w:tcPr>
            <w:tcW w:w="0" w:type="auto"/>
            <w:tcBorders>
              <w:top w:val="single" w:sz="1" w:space="0" w:color="000000"/>
              <w:left w:val="single" w:sz="1" w:space="0" w:color="000000"/>
              <w:bottom w:val="single" w:sz="1" w:space="0" w:color="000000"/>
              <w:right w:val="single" w:sz="1" w:space="0" w:color="000000"/>
            </w:tcBorders>
          </w:tcPr>
          <w:p w14:paraId="6F8DD173" w14:textId="77777777" w:rsidR="007F68D3" w:rsidRDefault="00000000">
            <w:pPr>
              <w:jc w:val="center"/>
            </w:pPr>
            <w:r>
              <w:t>97.6%</w:t>
            </w:r>
          </w:p>
        </w:tc>
        <w:tc>
          <w:tcPr>
            <w:tcW w:w="0" w:type="auto"/>
            <w:tcBorders>
              <w:top w:val="single" w:sz="1" w:space="0" w:color="000000"/>
              <w:left w:val="single" w:sz="1" w:space="0" w:color="000000"/>
              <w:bottom w:val="single" w:sz="1" w:space="0" w:color="000000"/>
              <w:right w:val="single" w:sz="1" w:space="0" w:color="000000"/>
            </w:tcBorders>
          </w:tcPr>
          <w:p w14:paraId="2EA91A12" w14:textId="77777777" w:rsidR="007F68D3" w:rsidRDefault="00000000">
            <w:pPr>
              <w:jc w:val="center"/>
            </w:pPr>
            <w:r>
              <w:t>2.0</w:t>
            </w:r>
          </w:p>
        </w:tc>
        <w:tc>
          <w:tcPr>
            <w:tcW w:w="0" w:type="auto"/>
            <w:tcBorders>
              <w:top w:val="single" w:sz="1" w:space="0" w:color="000000"/>
              <w:left w:val="single" w:sz="1" w:space="0" w:color="000000"/>
              <w:bottom w:val="single" w:sz="1" w:space="0" w:color="000000"/>
              <w:right w:val="single" w:sz="1" w:space="0" w:color="000000"/>
            </w:tcBorders>
          </w:tcPr>
          <w:p w14:paraId="2859F098" w14:textId="77777777" w:rsidR="007F68D3" w:rsidRDefault="00000000">
            <w:pPr>
              <w:jc w:val="center"/>
            </w:pPr>
            <w:r>
              <w:t>78.4%</w:t>
            </w:r>
          </w:p>
        </w:tc>
        <w:tc>
          <w:tcPr>
            <w:tcW w:w="0" w:type="auto"/>
            <w:tcBorders>
              <w:top w:val="single" w:sz="1" w:space="0" w:color="000000"/>
              <w:left w:val="single" w:sz="1" w:space="0" w:color="000000"/>
              <w:bottom w:val="single" w:sz="1" w:space="0" w:color="000000"/>
              <w:right w:val="single" w:sz="1" w:space="0" w:color="000000"/>
            </w:tcBorders>
          </w:tcPr>
          <w:p w14:paraId="1D6FB8B5" w14:textId="77777777" w:rsidR="007F68D3" w:rsidRDefault="00000000">
            <w:pPr>
              <w:jc w:val="center"/>
            </w:pPr>
            <w:r>
              <w:t>94.9%</w:t>
            </w:r>
          </w:p>
        </w:tc>
      </w:tr>
      <w:tr w:rsidR="007F68D3" w14:paraId="69396CA0"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5C45630" w14:textId="77777777" w:rsidR="007F68D3" w:rsidRDefault="00000000">
            <w:r>
              <w:t>Northeast Urban</w:t>
            </w:r>
          </w:p>
        </w:tc>
        <w:tc>
          <w:tcPr>
            <w:tcW w:w="0" w:type="auto"/>
            <w:tcBorders>
              <w:top w:val="single" w:sz="1" w:space="0" w:color="000000"/>
              <w:left w:val="single" w:sz="1" w:space="0" w:color="000000"/>
              <w:bottom w:val="single" w:sz="1" w:space="0" w:color="000000"/>
              <w:right w:val="single" w:sz="1" w:space="0" w:color="000000"/>
            </w:tcBorders>
          </w:tcPr>
          <w:p w14:paraId="182B36FF" w14:textId="77777777" w:rsidR="007F68D3" w:rsidRDefault="00000000">
            <w:pPr>
              <w:jc w:val="center"/>
            </w:pPr>
            <w:r>
              <w:t>98.8%</w:t>
            </w:r>
          </w:p>
        </w:tc>
        <w:tc>
          <w:tcPr>
            <w:tcW w:w="0" w:type="auto"/>
            <w:tcBorders>
              <w:top w:val="single" w:sz="1" w:space="0" w:color="000000"/>
              <w:left w:val="single" w:sz="1" w:space="0" w:color="000000"/>
              <w:bottom w:val="single" w:sz="1" w:space="0" w:color="000000"/>
              <w:right w:val="single" w:sz="1" w:space="0" w:color="000000"/>
            </w:tcBorders>
          </w:tcPr>
          <w:p w14:paraId="4CE99A05" w14:textId="77777777" w:rsidR="007F68D3" w:rsidRDefault="00000000">
            <w:pPr>
              <w:jc w:val="center"/>
            </w:pPr>
            <w:r>
              <w:t>2.0</w:t>
            </w:r>
          </w:p>
        </w:tc>
        <w:tc>
          <w:tcPr>
            <w:tcW w:w="0" w:type="auto"/>
            <w:tcBorders>
              <w:top w:val="single" w:sz="1" w:space="0" w:color="000000"/>
              <w:left w:val="single" w:sz="1" w:space="0" w:color="000000"/>
              <w:bottom w:val="single" w:sz="1" w:space="0" w:color="000000"/>
              <w:right w:val="single" w:sz="1" w:space="0" w:color="000000"/>
            </w:tcBorders>
          </w:tcPr>
          <w:p w14:paraId="38C6934D" w14:textId="77777777" w:rsidR="007F68D3" w:rsidRDefault="00000000">
            <w:pPr>
              <w:jc w:val="center"/>
            </w:pPr>
            <w:r>
              <w:t>78.3%</w:t>
            </w:r>
          </w:p>
        </w:tc>
        <w:tc>
          <w:tcPr>
            <w:tcW w:w="0" w:type="auto"/>
            <w:tcBorders>
              <w:top w:val="single" w:sz="1" w:space="0" w:color="000000"/>
              <w:left w:val="single" w:sz="1" w:space="0" w:color="000000"/>
              <w:bottom w:val="single" w:sz="1" w:space="0" w:color="000000"/>
              <w:right w:val="single" w:sz="1" w:space="0" w:color="000000"/>
            </w:tcBorders>
          </w:tcPr>
          <w:p w14:paraId="350DB083" w14:textId="77777777" w:rsidR="007F68D3" w:rsidRDefault="00000000">
            <w:pPr>
              <w:jc w:val="center"/>
            </w:pPr>
            <w:r>
              <w:t>94.2%</w:t>
            </w:r>
          </w:p>
        </w:tc>
      </w:tr>
      <w:tr w:rsidR="007F68D3" w14:paraId="4329E876"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B092A90" w14:textId="77777777" w:rsidR="007F68D3" w:rsidRDefault="00000000">
            <w:r>
              <w:t>National Average</w:t>
            </w:r>
          </w:p>
        </w:tc>
        <w:tc>
          <w:tcPr>
            <w:tcW w:w="0" w:type="auto"/>
            <w:tcBorders>
              <w:top w:val="single" w:sz="1" w:space="0" w:color="000000"/>
              <w:left w:val="single" w:sz="1" w:space="0" w:color="000000"/>
              <w:bottom w:val="single" w:sz="1" w:space="0" w:color="000000"/>
              <w:right w:val="single" w:sz="1" w:space="0" w:color="000000"/>
            </w:tcBorders>
          </w:tcPr>
          <w:p w14:paraId="09B2BA7F" w14:textId="77777777" w:rsidR="007F68D3" w:rsidRDefault="00000000">
            <w:pPr>
              <w:jc w:val="center"/>
            </w:pPr>
            <w:r>
              <w:t>97.1%</w:t>
            </w:r>
          </w:p>
        </w:tc>
        <w:tc>
          <w:tcPr>
            <w:tcW w:w="0" w:type="auto"/>
            <w:tcBorders>
              <w:top w:val="single" w:sz="1" w:space="0" w:color="000000"/>
              <w:left w:val="single" w:sz="1" w:space="0" w:color="000000"/>
              <w:bottom w:val="single" w:sz="1" w:space="0" w:color="000000"/>
              <w:right w:val="single" w:sz="1" w:space="0" w:color="000000"/>
            </w:tcBorders>
          </w:tcPr>
          <w:p w14:paraId="28A947FF" w14:textId="77777777" w:rsidR="007F68D3" w:rsidRDefault="00000000">
            <w:pPr>
              <w:jc w:val="center"/>
            </w:pPr>
            <w:r>
              <w:t>3.0</w:t>
            </w:r>
          </w:p>
        </w:tc>
        <w:tc>
          <w:tcPr>
            <w:tcW w:w="0" w:type="auto"/>
            <w:tcBorders>
              <w:top w:val="single" w:sz="1" w:space="0" w:color="000000"/>
              <w:left w:val="single" w:sz="1" w:space="0" w:color="000000"/>
              <w:bottom w:val="single" w:sz="1" w:space="0" w:color="000000"/>
              <w:right w:val="single" w:sz="1" w:space="0" w:color="000000"/>
            </w:tcBorders>
          </w:tcPr>
          <w:p w14:paraId="013BBB69" w14:textId="77777777" w:rsidR="007F68D3" w:rsidRDefault="00000000">
            <w:pPr>
              <w:jc w:val="center"/>
            </w:pPr>
            <w:r>
              <w:t>72.5%</w:t>
            </w:r>
          </w:p>
        </w:tc>
        <w:tc>
          <w:tcPr>
            <w:tcW w:w="0" w:type="auto"/>
            <w:tcBorders>
              <w:top w:val="single" w:sz="1" w:space="0" w:color="000000"/>
              <w:left w:val="single" w:sz="1" w:space="0" w:color="000000"/>
              <w:bottom w:val="single" w:sz="1" w:space="0" w:color="000000"/>
              <w:right w:val="single" w:sz="1" w:space="0" w:color="000000"/>
            </w:tcBorders>
          </w:tcPr>
          <w:p w14:paraId="6B916057" w14:textId="77777777" w:rsidR="007F68D3" w:rsidRDefault="00000000">
            <w:pPr>
              <w:jc w:val="center"/>
            </w:pPr>
            <w:r>
              <w:t>92.7%</w:t>
            </w:r>
          </w:p>
        </w:tc>
      </w:tr>
    </w:tbl>
    <w:p w14:paraId="39C7C9AA" w14:textId="77777777" w:rsidR="007F68D3" w:rsidRDefault="00000000">
      <w:r>
        <w:br w:type="page"/>
      </w:r>
    </w:p>
    <w:p w14:paraId="40904D95" w14:textId="77777777" w:rsidR="007F68D3" w:rsidRDefault="00000000">
      <w:pPr>
        <w:spacing w:before="200" w:after="200"/>
      </w:pPr>
      <w:r>
        <w:rPr>
          <w:b/>
          <w:bCs/>
          <w:sz w:val="28"/>
          <w:szCs w:val="28"/>
        </w:rPr>
        <w:lastRenderedPageBreak/>
        <w:t>S2.7 Tornado Analysis</w:t>
      </w:r>
    </w:p>
    <w:p w14:paraId="7AFD2A43" w14:textId="77777777" w:rsidR="007F68D3" w:rsidRDefault="00000000">
      <w:pPr>
        <w:spacing w:after="200"/>
      </w:pPr>
      <w:r>
        <w:rPr>
          <w:b/>
          <w:bCs/>
        </w:rPr>
        <w:t xml:space="preserve">Table S2.4. </w:t>
      </w:r>
      <w:r>
        <w:t>Sensitivity of 5-Year Outbreak Probability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1"/>
        <w:gridCol w:w="1234"/>
        <w:gridCol w:w="1234"/>
        <w:gridCol w:w="1299"/>
      </w:tblGrid>
      <w:tr w:rsidR="007F68D3" w14:paraId="087AA87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D4B4413" w14:textId="77777777" w:rsidR="007F68D3" w:rsidRDefault="00000000">
            <w:pPr>
              <w:jc w:val="center"/>
            </w:pPr>
            <w:r>
              <w:rPr>
                <w:b/>
                <w:bCs/>
              </w:rPr>
              <w:t>Parameter</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B7F70C9" w14:textId="77777777" w:rsidR="007F68D3" w:rsidRDefault="00000000">
            <w:pPr>
              <w:jc w:val="center"/>
            </w:pPr>
            <w:r>
              <w:rPr>
                <w:b/>
                <w:bCs/>
              </w:rPr>
              <w:t>Low</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5316875D" w14:textId="77777777" w:rsidR="007F68D3" w:rsidRDefault="00000000">
            <w:pPr>
              <w:jc w:val="center"/>
            </w:pPr>
            <w:r>
              <w:rPr>
                <w:b/>
                <w:bCs/>
              </w:rPr>
              <w:t>High</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2253EB68" w14:textId="77777777" w:rsidR="007F68D3" w:rsidRDefault="00000000">
            <w:pPr>
              <w:jc w:val="center"/>
            </w:pPr>
            <w:r>
              <w:rPr>
                <w:b/>
                <w:bCs/>
              </w:rPr>
              <w:t>Range</w:t>
            </w:r>
          </w:p>
        </w:tc>
      </w:tr>
      <w:tr w:rsidR="007F68D3" w14:paraId="4288FAD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649E5D42" w14:textId="77777777" w:rsidR="007F68D3" w:rsidRDefault="00000000">
            <w:r>
              <w:t>Network expansion multiplier</w:t>
            </w:r>
          </w:p>
        </w:tc>
        <w:tc>
          <w:tcPr>
            <w:tcW w:w="0" w:type="auto"/>
            <w:tcBorders>
              <w:top w:val="single" w:sz="1" w:space="0" w:color="000000"/>
              <w:left w:val="single" w:sz="1" w:space="0" w:color="000000"/>
              <w:bottom w:val="single" w:sz="1" w:space="0" w:color="000000"/>
              <w:right w:val="single" w:sz="1" w:space="0" w:color="000000"/>
            </w:tcBorders>
          </w:tcPr>
          <w:p w14:paraId="2A6CA05E" w14:textId="77777777" w:rsidR="007F68D3" w:rsidRDefault="00000000">
            <w:pPr>
              <w:jc w:val="center"/>
            </w:pPr>
            <w:r>
              <w:t>69.4%</w:t>
            </w:r>
          </w:p>
        </w:tc>
        <w:tc>
          <w:tcPr>
            <w:tcW w:w="0" w:type="auto"/>
            <w:tcBorders>
              <w:top w:val="single" w:sz="1" w:space="0" w:color="000000"/>
              <w:left w:val="single" w:sz="1" w:space="0" w:color="000000"/>
              <w:bottom w:val="single" w:sz="1" w:space="0" w:color="000000"/>
              <w:right w:val="single" w:sz="1" w:space="0" w:color="000000"/>
            </w:tcBorders>
          </w:tcPr>
          <w:p w14:paraId="24510580" w14:textId="77777777" w:rsidR="007F68D3" w:rsidRDefault="00000000">
            <w:pPr>
              <w:jc w:val="center"/>
            </w:pPr>
            <w:r>
              <w:t>77.5%</w:t>
            </w:r>
          </w:p>
        </w:tc>
        <w:tc>
          <w:tcPr>
            <w:tcW w:w="0" w:type="auto"/>
            <w:tcBorders>
              <w:top w:val="single" w:sz="1" w:space="0" w:color="000000"/>
              <w:left w:val="single" w:sz="1" w:space="0" w:color="000000"/>
              <w:bottom w:val="single" w:sz="1" w:space="0" w:color="000000"/>
              <w:right w:val="single" w:sz="1" w:space="0" w:color="000000"/>
            </w:tcBorders>
          </w:tcPr>
          <w:p w14:paraId="534CC0B0" w14:textId="77777777" w:rsidR="007F68D3" w:rsidRDefault="00000000">
            <w:pPr>
              <w:jc w:val="center"/>
            </w:pPr>
            <w:r>
              <w:t>8.2%</w:t>
            </w:r>
          </w:p>
        </w:tc>
      </w:tr>
      <w:tr w:rsidR="007F68D3" w14:paraId="4F72FEE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C0B5728" w14:textId="77777777" w:rsidR="007F68D3" w:rsidRDefault="00000000">
            <w:r>
              <w:t>Incarceration rate</w:t>
            </w:r>
          </w:p>
        </w:tc>
        <w:tc>
          <w:tcPr>
            <w:tcW w:w="0" w:type="auto"/>
            <w:tcBorders>
              <w:top w:val="single" w:sz="1" w:space="0" w:color="000000"/>
              <w:left w:val="single" w:sz="1" w:space="0" w:color="000000"/>
              <w:bottom w:val="single" w:sz="1" w:space="0" w:color="000000"/>
              <w:right w:val="single" w:sz="1" w:space="0" w:color="000000"/>
            </w:tcBorders>
          </w:tcPr>
          <w:p w14:paraId="7A1B5F96" w14:textId="77777777" w:rsidR="007F68D3" w:rsidRDefault="00000000">
            <w:pPr>
              <w:jc w:val="center"/>
            </w:pPr>
            <w:r>
              <w:t>69.3%</w:t>
            </w:r>
          </w:p>
        </w:tc>
        <w:tc>
          <w:tcPr>
            <w:tcW w:w="0" w:type="auto"/>
            <w:tcBorders>
              <w:top w:val="single" w:sz="1" w:space="0" w:color="000000"/>
              <w:left w:val="single" w:sz="1" w:space="0" w:color="000000"/>
              <w:bottom w:val="single" w:sz="1" w:space="0" w:color="000000"/>
              <w:right w:val="single" w:sz="1" w:space="0" w:color="000000"/>
            </w:tcBorders>
          </w:tcPr>
          <w:p w14:paraId="072EF754" w14:textId="77777777" w:rsidR="007F68D3" w:rsidRDefault="00000000">
            <w:pPr>
              <w:jc w:val="center"/>
            </w:pPr>
            <w:r>
              <w:t>77.4%</w:t>
            </w:r>
          </w:p>
        </w:tc>
        <w:tc>
          <w:tcPr>
            <w:tcW w:w="0" w:type="auto"/>
            <w:tcBorders>
              <w:top w:val="single" w:sz="1" w:space="0" w:color="000000"/>
              <w:left w:val="single" w:sz="1" w:space="0" w:color="000000"/>
              <w:bottom w:val="single" w:sz="1" w:space="0" w:color="000000"/>
              <w:right w:val="single" w:sz="1" w:space="0" w:color="000000"/>
            </w:tcBorders>
          </w:tcPr>
          <w:p w14:paraId="2FD31254" w14:textId="77777777" w:rsidR="007F68D3" w:rsidRDefault="00000000">
            <w:pPr>
              <w:jc w:val="center"/>
            </w:pPr>
            <w:r>
              <w:t>8.1%</w:t>
            </w:r>
          </w:p>
        </w:tc>
      </w:tr>
      <w:tr w:rsidR="007F68D3" w14:paraId="5FE3606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9AA9ED8" w14:textId="77777777" w:rsidR="007F68D3" w:rsidRDefault="00000000">
            <w:r>
              <w:t>SSP coverage</w:t>
            </w:r>
          </w:p>
        </w:tc>
        <w:tc>
          <w:tcPr>
            <w:tcW w:w="0" w:type="auto"/>
            <w:tcBorders>
              <w:top w:val="single" w:sz="1" w:space="0" w:color="000000"/>
              <w:left w:val="single" w:sz="1" w:space="0" w:color="000000"/>
              <w:bottom w:val="single" w:sz="1" w:space="0" w:color="000000"/>
              <w:right w:val="single" w:sz="1" w:space="0" w:color="000000"/>
            </w:tcBorders>
          </w:tcPr>
          <w:p w14:paraId="719C88A7" w14:textId="77777777" w:rsidR="007F68D3" w:rsidRDefault="00000000">
            <w:pPr>
              <w:jc w:val="center"/>
            </w:pPr>
            <w:r>
              <w:t>74.8%</w:t>
            </w:r>
          </w:p>
        </w:tc>
        <w:tc>
          <w:tcPr>
            <w:tcW w:w="0" w:type="auto"/>
            <w:tcBorders>
              <w:top w:val="single" w:sz="1" w:space="0" w:color="000000"/>
              <w:left w:val="single" w:sz="1" w:space="0" w:color="000000"/>
              <w:bottom w:val="single" w:sz="1" w:space="0" w:color="000000"/>
              <w:right w:val="single" w:sz="1" w:space="0" w:color="000000"/>
            </w:tcBorders>
          </w:tcPr>
          <w:p w14:paraId="1D3353C0" w14:textId="77777777" w:rsidR="007F68D3" w:rsidRDefault="00000000">
            <w:pPr>
              <w:jc w:val="center"/>
            </w:pPr>
            <w:r>
              <w:t>67.7%</w:t>
            </w:r>
          </w:p>
        </w:tc>
        <w:tc>
          <w:tcPr>
            <w:tcW w:w="0" w:type="auto"/>
            <w:tcBorders>
              <w:top w:val="single" w:sz="1" w:space="0" w:color="000000"/>
              <w:left w:val="single" w:sz="1" w:space="0" w:color="000000"/>
              <w:bottom w:val="single" w:sz="1" w:space="0" w:color="000000"/>
              <w:right w:val="single" w:sz="1" w:space="0" w:color="000000"/>
            </w:tcBorders>
          </w:tcPr>
          <w:p w14:paraId="5520A193" w14:textId="77777777" w:rsidR="007F68D3" w:rsidRDefault="00000000">
            <w:pPr>
              <w:jc w:val="center"/>
            </w:pPr>
            <w:r>
              <w:t>7.1%</w:t>
            </w:r>
          </w:p>
        </w:tc>
      </w:tr>
      <w:tr w:rsidR="007F68D3" w14:paraId="1BC95F14"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0F69E72" w14:textId="77777777" w:rsidR="007F68D3" w:rsidRDefault="00000000">
            <w:r>
              <w:t>Baseline density</w:t>
            </w:r>
          </w:p>
        </w:tc>
        <w:tc>
          <w:tcPr>
            <w:tcW w:w="0" w:type="auto"/>
            <w:tcBorders>
              <w:top w:val="single" w:sz="1" w:space="0" w:color="000000"/>
              <w:left w:val="single" w:sz="1" w:space="0" w:color="000000"/>
              <w:bottom w:val="single" w:sz="1" w:space="0" w:color="000000"/>
              <w:right w:val="single" w:sz="1" w:space="0" w:color="000000"/>
            </w:tcBorders>
          </w:tcPr>
          <w:p w14:paraId="00295063" w14:textId="77777777" w:rsidR="007F68D3" w:rsidRDefault="00000000">
            <w:pPr>
              <w:jc w:val="center"/>
            </w:pPr>
            <w:r>
              <w:t>69.3%</w:t>
            </w:r>
          </w:p>
        </w:tc>
        <w:tc>
          <w:tcPr>
            <w:tcW w:w="0" w:type="auto"/>
            <w:tcBorders>
              <w:top w:val="single" w:sz="1" w:space="0" w:color="000000"/>
              <w:left w:val="single" w:sz="1" w:space="0" w:color="000000"/>
              <w:bottom w:val="single" w:sz="1" w:space="0" w:color="000000"/>
              <w:right w:val="single" w:sz="1" w:space="0" w:color="000000"/>
            </w:tcBorders>
          </w:tcPr>
          <w:p w14:paraId="4BFD98B1" w14:textId="77777777" w:rsidR="007F68D3" w:rsidRDefault="00000000">
            <w:pPr>
              <w:jc w:val="center"/>
            </w:pPr>
            <w:r>
              <w:t>75.9%</w:t>
            </w:r>
          </w:p>
        </w:tc>
        <w:tc>
          <w:tcPr>
            <w:tcW w:w="0" w:type="auto"/>
            <w:tcBorders>
              <w:top w:val="single" w:sz="1" w:space="0" w:color="000000"/>
              <w:left w:val="single" w:sz="1" w:space="0" w:color="000000"/>
              <w:bottom w:val="single" w:sz="1" w:space="0" w:color="000000"/>
              <w:right w:val="single" w:sz="1" w:space="0" w:color="000000"/>
            </w:tcBorders>
          </w:tcPr>
          <w:p w14:paraId="5AD79704" w14:textId="77777777" w:rsidR="007F68D3" w:rsidRDefault="00000000">
            <w:pPr>
              <w:jc w:val="center"/>
            </w:pPr>
            <w:r>
              <w:t>6.6%</w:t>
            </w:r>
          </w:p>
        </w:tc>
      </w:tr>
      <w:tr w:rsidR="007F68D3" w14:paraId="07AD0F7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75147F4" w14:textId="77777777" w:rsidR="007F68D3" w:rsidRDefault="00000000">
            <w:r>
              <w:t>Contextual driver growth</w:t>
            </w:r>
          </w:p>
        </w:tc>
        <w:tc>
          <w:tcPr>
            <w:tcW w:w="0" w:type="auto"/>
            <w:tcBorders>
              <w:top w:val="single" w:sz="1" w:space="0" w:color="000000"/>
              <w:left w:val="single" w:sz="1" w:space="0" w:color="000000"/>
              <w:bottom w:val="single" w:sz="1" w:space="0" w:color="000000"/>
              <w:right w:val="single" w:sz="1" w:space="0" w:color="000000"/>
            </w:tcBorders>
          </w:tcPr>
          <w:p w14:paraId="24420C45" w14:textId="77777777" w:rsidR="007F68D3" w:rsidRDefault="00000000">
            <w:pPr>
              <w:jc w:val="center"/>
            </w:pPr>
            <w:r>
              <w:t>69.3%</w:t>
            </w:r>
          </w:p>
        </w:tc>
        <w:tc>
          <w:tcPr>
            <w:tcW w:w="0" w:type="auto"/>
            <w:tcBorders>
              <w:top w:val="single" w:sz="1" w:space="0" w:color="000000"/>
              <w:left w:val="single" w:sz="1" w:space="0" w:color="000000"/>
              <w:bottom w:val="single" w:sz="1" w:space="0" w:color="000000"/>
              <w:right w:val="single" w:sz="1" w:space="0" w:color="000000"/>
            </w:tcBorders>
          </w:tcPr>
          <w:p w14:paraId="14DD887D" w14:textId="77777777" w:rsidR="007F68D3" w:rsidRDefault="00000000">
            <w:pPr>
              <w:jc w:val="center"/>
            </w:pPr>
            <w:r>
              <w:t>73.8%</w:t>
            </w:r>
          </w:p>
        </w:tc>
        <w:tc>
          <w:tcPr>
            <w:tcW w:w="0" w:type="auto"/>
            <w:tcBorders>
              <w:top w:val="single" w:sz="1" w:space="0" w:color="000000"/>
              <w:left w:val="single" w:sz="1" w:space="0" w:color="000000"/>
              <w:bottom w:val="single" w:sz="1" w:space="0" w:color="000000"/>
              <w:right w:val="single" w:sz="1" w:space="0" w:color="000000"/>
            </w:tcBorders>
          </w:tcPr>
          <w:p w14:paraId="11C9D996" w14:textId="77777777" w:rsidR="007F68D3" w:rsidRDefault="00000000">
            <w:pPr>
              <w:jc w:val="center"/>
            </w:pPr>
            <w:r>
              <w:t>4.5%</w:t>
            </w:r>
          </w:p>
        </w:tc>
      </w:tr>
      <w:tr w:rsidR="007F68D3" w14:paraId="3DFB79F9"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537C02C" w14:textId="77777777" w:rsidR="007F68D3" w:rsidRDefault="00000000">
            <w:r>
              <w:t>Baseline outbreak prob</w:t>
            </w:r>
          </w:p>
        </w:tc>
        <w:tc>
          <w:tcPr>
            <w:tcW w:w="0" w:type="auto"/>
            <w:tcBorders>
              <w:top w:val="single" w:sz="1" w:space="0" w:color="000000"/>
              <w:left w:val="single" w:sz="1" w:space="0" w:color="000000"/>
              <w:bottom w:val="single" w:sz="1" w:space="0" w:color="000000"/>
              <w:right w:val="single" w:sz="1" w:space="0" w:color="000000"/>
            </w:tcBorders>
          </w:tcPr>
          <w:p w14:paraId="16D40D56" w14:textId="77777777" w:rsidR="007F68D3" w:rsidRDefault="00000000">
            <w:pPr>
              <w:jc w:val="center"/>
            </w:pPr>
            <w:r>
              <w:t>67.8%</w:t>
            </w:r>
          </w:p>
        </w:tc>
        <w:tc>
          <w:tcPr>
            <w:tcW w:w="0" w:type="auto"/>
            <w:tcBorders>
              <w:top w:val="single" w:sz="1" w:space="0" w:color="000000"/>
              <w:left w:val="single" w:sz="1" w:space="0" w:color="000000"/>
              <w:bottom w:val="single" w:sz="1" w:space="0" w:color="000000"/>
              <w:right w:val="single" w:sz="1" w:space="0" w:color="000000"/>
            </w:tcBorders>
          </w:tcPr>
          <w:p w14:paraId="60105C4E" w14:textId="77777777" w:rsidR="007F68D3" w:rsidRDefault="00000000">
            <w:pPr>
              <w:jc w:val="center"/>
            </w:pPr>
            <w:r>
              <w:t>71.8%</w:t>
            </w:r>
          </w:p>
        </w:tc>
        <w:tc>
          <w:tcPr>
            <w:tcW w:w="0" w:type="auto"/>
            <w:tcBorders>
              <w:top w:val="single" w:sz="1" w:space="0" w:color="000000"/>
              <w:left w:val="single" w:sz="1" w:space="0" w:color="000000"/>
              <w:bottom w:val="single" w:sz="1" w:space="0" w:color="000000"/>
              <w:right w:val="single" w:sz="1" w:space="0" w:color="000000"/>
            </w:tcBorders>
          </w:tcPr>
          <w:p w14:paraId="6EB201C9" w14:textId="77777777" w:rsidR="007F68D3" w:rsidRDefault="00000000">
            <w:pPr>
              <w:jc w:val="center"/>
            </w:pPr>
            <w:r>
              <w:t>4.0%</w:t>
            </w:r>
          </w:p>
        </w:tc>
      </w:tr>
      <w:tr w:rsidR="007F68D3" w14:paraId="60CAD1F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73832C55" w14:textId="77777777" w:rsidR="007F68D3" w:rsidRDefault="00000000">
            <w:r>
              <w:t>Housing instability</w:t>
            </w:r>
          </w:p>
        </w:tc>
        <w:tc>
          <w:tcPr>
            <w:tcW w:w="0" w:type="auto"/>
            <w:tcBorders>
              <w:top w:val="single" w:sz="1" w:space="0" w:color="000000"/>
              <w:left w:val="single" w:sz="1" w:space="0" w:color="000000"/>
              <w:bottom w:val="single" w:sz="1" w:space="0" w:color="000000"/>
              <w:right w:val="single" w:sz="1" w:space="0" w:color="000000"/>
            </w:tcBorders>
          </w:tcPr>
          <w:p w14:paraId="0A48A1C8" w14:textId="77777777" w:rsidR="007F68D3" w:rsidRDefault="00000000">
            <w:pPr>
              <w:jc w:val="center"/>
            </w:pPr>
            <w:r>
              <w:t>70.2%</w:t>
            </w:r>
          </w:p>
        </w:tc>
        <w:tc>
          <w:tcPr>
            <w:tcW w:w="0" w:type="auto"/>
            <w:tcBorders>
              <w:top w:val="single" w:sz="1" w:space="0" w:color="000000"/>
              <w:left w:val="single" w:sz="1" w:space="0" w:color="000000"/>
              <w:bottom w:val="single" w:sz="1" w:space="0" w:color="000000"/>
              <w:right w:val="single" w:sz="1" w:space="0" w:color="000000"/>
            </w:tcBorders>
          </w:tcPr>
          <w:p w14:paraId="1F733486" w14:textId="77777777" w:rsidR="007F68D3" w:rsidRDefault="00000000">
            <w:pPr>
              <w:jc w:val="center"/>
            </w:pPr>
            <w:r>
              <w:t>68.9%</w:t>
            </w:r>
          </w:p>
        </w:tc>
        <w:tc>
          <w:tcPr>
            <w:tcW w:w="0" w:type="auto"/>
            <w:tcBorders>
              <w:top w:val="single" w:sz="1" w:space="0" w:color="000000"/>
              <w:left w:val="single" w:sz="1" w:space="0" w:color="000000"/>
              <w:bottom w:val="single" w:sz="1" w:space="0" w:color="000000"/>
              <w:right w:val="single" w:sz="1" w:space="0" w:color="000000"/>
            </w:tcBorders>
          </w:tcPr>
          <w:p w14:paraId="21B2BB5E" w14:textId="77777777" w:rsidR="007F68D3" w:rsidRDefault="00000000">
            <w:pPr>
              <w:jc w:val="center"/>
            </w:pPr>
            <w:r>
              <w:t>1.3%</w:t>
            </w:r>
          </w:p>
        </w:tc>
      </w:tr>
      <w:tr w:rsidR="007F68D3" w14:paraId="0C62B78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FE53815" w14:textId="77777777" w:rsidR="007F68D3" w:rsidRDefault="00000000">
            <w:r>
              <w:t>OAT coverage</w:t>
            </w:r>
          </w:p>
        </w:tc>
        <w:tc>
          <w:tcPr>
            <w:tcW w:w="0" w:type="auto"/>
            <w:tcBorders>
              <w:top w:val="single" w:sz="1" w:space="0" w:color="000000"/>
              <w:left w:val="single" w:sz="1" w:space="0" w:color="000000"/>
              <w:bottom w:val="single" w:sz="1" w:space="0" w:color="000000"/>
              <w:right w:val="single" w:sz="1" w:space="0" w:color="000000"/>
            </w:tcBorders>
          </w:tcPr>
          <w:p w14:paraId="77A5718A" w14:textId="77777777" w:rsidR="007F68D3" w:rsidRDefault="00000000">
            <w:pPr>
              <w:jc w:val="center"/>
            </w:pPr>
            <w:r>
              <w:t>70.7%</w:t>
            </w:r>
          </w:p>
        </w:tc>
        <w:tc>
          <w:tcPr>
            <w:tcW w:w="0" w:type="auto"/>
            <w:tcBorders>
              <w:top w:val="single" w:sz="1" w:space="0" w:color="000000"/>
              <w:left w:val="single" w:sz="1" w:space="0" w:color="000000"/>
              <w:bottom w:val="single" w:sz="1" w:space="0" w:color="000000"/>
              <w:right w:val="single" w:sz="1" w:space="0" w:color="000000"/>
            </w:tcBorders>
          </w:tcPr>
          <w:p w14:paraId="2101BB43" w14:textId="77777777" w:rsidR="007F68D3" w:rsidRDefault="00000000">
            <w:pPr>
              <w:jc w:val="center"/>
            </w:pPr>
            <w:r>
              <w:t>71.1%</w:t>
            </w:r>
          </w:p>
        </w:tc>
        <w:tc>
          <w:tcPr>
            <w:tcW w:w="0" w:type="auto"/>
            <w:tcBorders>
              <w:top w:val="single" w:sz="1" w:space="0" w:color="000000"/>
              <w:left w:val="single" w:sz="1" w:space="0" w:color="000000"/>
              <w:bottom w:val="single" w:sz="1" w:space="0" w:color="000000"/>
              <w:right w:val="single" w:sz="1" w:space="0" w:color="000000"/>
            </w:tcBorders>
          </w:tcPr>
          <w:p w14:paraId="5A79C40B" w14:textId="77777777" w:rsidR="007F68D3" w:rsidRDefault="00000000">
            <w:pPr>
              <w:jc w:val="center"/>
            </w:pPr>
            <w:r>
              <w:t>0.4%</w:t>
            </w:r>
          </w:p>
        </w:tc>
      </w:tr>
      <w:tr w:rsidR="007F68D3" w14:paraId="3DD4688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226C414" w14:textId="77777777" w:rsidR="007F68D3" w:rsidRDefault="00000000">
            <w:r>
              <w:t>Critical threshold</w:t>
            </w:r>
          </w:p>
        </w:tc>
        <w:tc>
          <w:tcPr>
            <w:tcW w:w="0" w:type="auto"/>
            <w:tcBorders>
              <w:top w:val="single" w:sz="1" w:space="0" w:color="000000"/>
              <w:left w:val="single" w:sz="1" w:space="0" w:color="000000"/>
              <w:bottom w:val="single" w:sz="1" w:space="0" w:color="000000"/>
              <w:right w:val="single" w:sz="1" w:space="0" w:color="000000"/>
            </w:tcBorders>
          </w:tcPr>
          <w:p w14:paraId="643D028A" w14:textId="77777777" w:rsidR="007F68D3" w:rsidRDefault="00000000">
            <w:pPr>
              <w:jc w:val="center"/>
            </w:pPr>
            <w:r>
              <w:t>73.0%</w:t>
            </w:r>
          </w:p>
        </w:tc>
        <w:tc>
          <w:tcPr>
            <w:tcW w:w="0" w:type="auto"/>
            <w:tcBorders>
              <w:top w:val="single" w:sz="1" w:space="0" w:color="000000"/>
              <w:left w:val="single" w:sz="1" w:space="0" w:color="000000"/>
              <w:bottom w:val="single" w:sz="1" w:space="0" w:color="000000"/>
              <w:right w:val="single" w:sz="1" w:space="0" w:color="000000"/>
            </w:tcBorders>
          </w:tcPr>
          <w:p w14:paraId="139748B8" w14:textId="77777777" w:rsidR="007F68D3" w:rsidRDefault="00000000">
            <w:pPr>
              <w:jc w:val="center"/>
            </w:pPr>
            <w:r>
              <w:t>73.1%</w:t>
            </w:r>
          </w:p>
        </w:tc>
        <w:tc>
          <w:tcPr>
            <w:tcW w:w="0" w:type="auto"/>
            <w:tcBorders>
              <w:top w:val="single" w:sz="1" w:space="0" w:color="000000"/>
              <w:left w:val="single" w:sz="1" w:space="0" w:color="000000"/>
              <w:bottom w:val="single" w:sz="1" w:space="0" w:color="000000"/>
              <w:right w:val="single" w:sz="1" w:space="0" w:color="000000"/>
            </w:tcBorders>
          </w:tcPr>
          <w:p w14:paraId="2DCD737E" w14:textId="77777777" w:rsidR="007F68D3" w:rsidRDefault="00000000">
            <w:pPr>
              <w:jc w:val="center"/>
            </w:pPr>
            <w:r>
              <w:t>0.04%</w:t>
            </w:r>
          </w:p>
        </w:tc>
      </w:tr>
    </w:tbl>
    <w:p w14:paraId="18BB3FB7" w14:textId="77777777" w:rsidR="007F68D3" w:rsidRDefault="00000000">
      <w:pPr>
        <w:spacing w:before="300" w:after="200"/>
      </w:pPr>
      <w:r>
        <w:rPr>
          <w:b/>
          <w:bCs/>
          <w:sz w:val="28"/>
          <w:szCs w:val="28"/>
        </w:rPr>
        <w:t>S2.8 Policy Scenarios</w:t>
      </w:r>
    </w:p>
    <w:p w14:paraId="62881131" w14:textId="77777777" w:rsidR="007F68D3" w:rsidRDefault="00000000">
      <w:pPr>
        <w:spacing w:after="200"/>
      </w:pPr>
      <w:r>
        <w:rPr>
          <w:b/>
          <w:bCs/>
        </w:rPr>
        <w:t xml:space="preserve">Table S2.5. </w:t>
      </w:r>
      <w:r>
        <w:t>Policy Scenario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5"/>
        <w:gridCol w:w="848"/>
        <w:gridCol w:w="998"/>
        <w:gridCol w:w="1180"/>
        <w:gridCol w:w="1488"/>
        <w:gridCol w:w="1389"/>
      </w:tblGrid>
      <w:tr w:rsidR="007F68D3" w14:paraId="55245DF8"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19086A1B" w14:textId="77777777" w:rsidR="007F68D3" w:rsidRDefault="00000000">
            <w:pPr>
              <w:jc w:val="center"/>
            </w:pPr>
            <w:r>
              <w:rPr>
                <w:b/>
                <w:bCs/>
              </w:rPr>
              <w:t>Scenario</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72DB5776" w14:textId="77777777" w:rsidR="007F68D3" w:rsidRDefault="00000000">
            <w:pPr>
              <w:jc w:val="center"/>
            </w:pPr>
            <w:r>
              <w:rPr>
                <w:b/>
                <w:bCs/>
              </w:rPr>
              <w:t>SSP</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3B738E9" w14:textId="77777777" w:rsidR="007F68D3" w:rsidRDefault="00000000">
            <w:pPr>
              <w:jc w:val="center"/>
            </w:pPr>
            <w:r>
              <w:rPr>
                <w:b/>
                <w:bCs/>
              </w:rPr>
              <w:t>OAT</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070F23D5" w14:textId="77777777" w:rsidR="007F68D3" w:rsidRDefault="00000000">
            <w:pPr>
              <w:jc w:val="center"/>
            </w:pPr>
            <w:r>
              <w:rPr>
                <w:b/>
                <w:bCs/>
              </w:rPr>
              <w:t>Rate</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ADE460B" w14:textId="77777777" w:rsidR="007F68D3" w:rsidRDefault="00000000">
            <w:pPr>
              <w:jc w:val="center"/>
            </w:pPr>
            <w:r>
              <w:rPr>
                <w:b/>
                <w:bCs/>
              </w:rPr>
              <w:t>Median</w:t>
            </w:r>
          </w:p>
        </w:tc>
        <w:tc>
          <w:tcPr>
            <w:tcW w:w="0" w:type="auto"/>
            <w:tcBorders>
              <w:top w:val="single" w:sz="1" w:space="0" w:color="000000"/>
              <w:left w:val="single" w:sz="1" w:space="0" w:color="000000"/>
              <w:bottom w:val="single" w:sz="1" w:space="0" w:color="000000"/>
              <w:right w:val="single" w:sz="1" w:space="0" w:color="000000"/>
            </w:tcBorders>
            <w:shd w:val="clear" w:color="auto" w:fill="D9E2F3"/>
          </w:tcPr>
          <w:p w14:paraId="6C31FF84" w14:textId="77777777" w:rsidR="007F68D3" w:rsidRDefault="00000000">
            <w:pPr>
              <w:jc w:val="center"/>
            </w:pPr>
            <w:r>
              <w:rPr>
                <w:b/>
                <w:bCs/>
              </w:rPr>
              <w:t>P(5-yr)</w:t>
            </w:r>
          </w:p>
        </w:tc>
      </w:tr>
      <w:tr w:rsidR="007F68D3" w14:paraId="72987D93"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6F35C609" w14:textId="77777777" w:rsidR="007F68D3" w:rsidRDefault="00000000">
            <w:r>
              <w:t>Current Policy</w:t>
            </w:r>
          </w:p>
        </w:tc>
        <w:tc>
          <w:tcPr>
            <w:tcW w:w="0" w:type="auto"/>
            <w:tcBorders>
              <w:top w:val="single" w:sz="1" w:space="0" w:color="000000"/>
              <w:left w:val="single" w:sz="1" w:space="0" w:color="000000"/>
              <w:bottom w:val="single" w:sz="1" w:space="0" w:color="000000"/>
              <w:right w:val="single" w:sz="1" w:space="0" w:color="000000"/>
            </w:tcBorders>
          </w:tcPr>
          <w:p w14:paraId="7CFB4A64" w14:textId="77777777" w:rsidR="007F68D3" w:rsidRDefault="00000000">
            <w:pPr>
              <w:jc w:val="center"/>
            </w:pPr>
            <w:r>
              <w:t>21%</w:t>
            </w:r>
          </w:p>
        </w:tc>
        <w:tc>
          <w:tcPr>
            <w:tcW w:w="0" w:type="auto"/>
            <w:tcBorders>
              <w:top w:val="single" w:sz="1" w:space="0" w:color="000000"/>
              <w:left w:val="single" w:sz="1" w:space="0" w:color="000000"/>
              <w:bottom w:val="single" w:sz="1" w:space="0" w:color="000000"/>
              <w:right w:val="single" w:sz="1" w:space="0" w:color="000000"/>
            </w:tcBorders>
          </w:tcPr>
          <w:p w14:paraId="4F61D996" w14:textId="77777777" w:rsidR="007F68D3" w:rsidRDefault="00000000">
            <w:pPr>
              <w:jc w:val="center"/>
            </w:pPr>
            <w:r>
              <w:t>8%</w:t>
            </w:r>
          </w:p>
        </w:tc>
        <w:tc>
          <w:tcPr>
            <w:tcW w:w="0" w:type="auto"/>
            <w:tcBorders>
              <w:top w:val="single" w:sz="1" w:space="0" w:color="000000"/>
              <w:left w:val="single" w:sz="1" w:space="0" w:color="000000"/>
              <w:bottom w:val="single" w:sz="1" w:space="0" w:color="000000"/>
              <w:right w:val="single" w:sz="1" w:space="0" w:color="000000"/>
            </w:tcBorders>
          </w:tcPr>
          <w:p w14:paraId="77E521AF" w14:textId="77777777" w:rsidR="007F68D3" w:rsidRDefault="00000000">
            <w:pPr>
              <w:jc w:val="center"/>
            </w:pPr>
            <w:r>
              <w:t>97.5%</w:t>
            </w:r>
          </w:p>
        </w:tc>
        <w:tc>
          <w:tcPr>
            <w:tcW w:w="0" w:type="auto"/>
            <w:tcBorders>
              <w:top w:val="single" w:sz="1" w:space="0" w:color="000000"/>
              <w:left w:val="single" w:sz="1" w:space="0" w:color="000000"/>
              <w:bottom w:val="single" w:sz="1" w:space="0" w:color="000000"/>
              <w:right w:val="single" w:sz="1" w:space="0" w:color="000000"/>
            </w:tcBorders>
          </w:tcPr>
          <w:p w14:paraId="2C4A40BE" w14:textId="77777777" w:rsidR="007F68D3" w:rsidRDefault="00000000">
            <w:pPr>
              <w:jc w:val="center"/>
            </w:pPr>
            <w:r>
              <w:t>3.0</w:t>
            </w:r>
          </w:p>
        </w:tc>
        <w:tc>
          <w:tcPr>
            <w:tcW w:w="0" w:type="auto"/>
            <w:tcBorders>
              <w:top w:val="single" w:sz="1" w:space="0" w:color="000000"/>
              <w:left w:val="single" w:sz="1" w:space="0" w:color="000000"/>
              <w:bottom w:val="single" w:sz="1" w:space="0" w:color="000000"/>
              <w:right w:val="single" w:sz="1" w:space="0" w:color="000000"/>
            </w:tcBorders>
          </w:tcPr>
          <w:p w14:paraId="37A290C4" w14:textId="77777777" w:rsidR="007F68D3" w:rsidRDefault="00000000">
            <w:pPr>
              <w:jc w:val="center"/>
            </w:pPr>
            <w:r>
              <w:t>69.5%</w:t>
            </w:r>
          </w:p>
        </w:tc>
      </w:tr>
      <w:tr w:rsidR="007F68D3" w14:paraId="0745B9F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5F167074" w14:textId="77777777" w:rsidR="007F68D3" w:rsidRDefault="00000000">
            <w:r>
              <w:t>SSP Expansion</w:t>
            </w:r>
          </w:p>
        </w:tc>
        <w:tc>
          <w:tcPr>
            <w:tcW w:w="0" w:type="auto"/>
            <w:tcBorders>
              <w:top w:val="single" w:sz="1" w:space="0" w:color="000000"/>
              <w:left w:val="single" w:sz="1" w:space="0" w:color="000000"/>
              <w:bottom w:val="single" w:sz="1" w:space="0" w:color="000000"/>
              <w:right w:val="single" w:sz="1" w:space="0" w:color="000000"/>
            </w:tcBorders>
          </w:tcPr>
          <w:p w14:paraId="7AE4FC50" w14:textId="77777777" w:rsidR="007F68D3" w:rsidRDefault="00000000">
            <w:pPr>
              <w:jc w:val="center"/>
            </w:pPr>
            <w:r>
              <w:t>50%</w:t>
            </w:r>
          </w:p>
        </w:tc>
        <w:tc>
          <w:tcPr>
            <w:tcW w:w="0" w:type="auto"/>
            <w:tcBorders>
              <w:top w:val="single" w:sz="1" w:space="0" w:color="000000"/>
              <w:left w:val="single" w:sz="1" w:space="0" w:color="000000"/>
              <w:bottom w:val="single" w:sz="1" w:space="0" w:color="000000"/>
              <w:right w:val="single" w:sz="1" w:space="0" w:color="000000"/>
            </w:tcBorders>
          </w:tcPr>
          <w:p w14:paraId="3DB071AA" w14:textId="77777777" w:rsidR="007F68D3" w:rsidRDefault="00000000">
            <w:pPr>
              <w:jc w:val="center"/>
            </w:pPr>
            <w:r>
              <w:t>8%</w:t>
            </w:r>
          </w:p>
        </w:tc>
        <w:tc>
          <w:tcPr>
            <w:tcW w:w="0" w:type="auto"/>
            <w:tcBorders>
              <w:top w:val="single" w:sz="1" w:space="0" w:color="000000"/>
              <w:left w:val="single" w:sz="1" w:space="0" w:color="000000"/>
              <w:bottom w:val="single" w:sz="1" w:space="0" w:color="000000"/>
              <w:right w:val="single" w:sz="1" w:space="0" w:color="000000"/>
            </w:tcBorders>
          </w:tcPr>
          <w:p w14:paraId="3505501D" w14:textId="77777777" w:rsidR="007F68D3" w:rsidRDefault="00000000">
            <w:pPr>
              <w:jc w:val="center"/>
            </w:pPr>
            <w:r>
              <w:t>95.8%</w:t>
            </w:r>
          </w:p>
        </w:tc>
        <w:tc>
          <w:tcPr>
            <w:tcW w:w="0" w:type="auto"/>
            <w:tcBorders>
              <w:top w:val="single" w:sz="1" w:space="0" w:color="000000"/>
              <w:left w:val="single" w:sz="1" w:space="0" w:color="000000"/>
              <w:bottom w:val="single" w:sz="1" w:space="0" w:color="000000"/>
              <w:right w:val="single" w:sz="1" w:space="0" w:color="000000"/>
            </w:tcBorders>
          </w:tcPr>
          <w:p w14:paraId="27DF3BB5" w14:textId="77777777" w:rsidR="007F68D3" w:rsidRDefault="00000000">
            <w:pPr>
              <w:jc w:val="center"/>
            </w:pPr>
            <w:r>
              <w:t>3.0</w:t>
            </w:r>
          </w:p>
        </w:tc>
        <w:tc>
          <w:tcPr>
            <w:tcW w:w="0" w:type="auto"/>
            <w:tcBorders>
              <w:top w:val="single" w:sz="1" w:space="0" w:color="000000"/>
              <w:left w:val="single" w:sz="1" w:space="0" w:color="000000"/>
              <w:bottom w:val="single" w:sz="1" w:space="0" w:color="000000"/>
              <w:right w:val="single" w:sz="1" w:space="0" w:color="000000"/>
            </w:tcBorders>
          </w:tcPr>
          <w:p w14:paraId="3A025A0F" w14:textId="77777777" w:rsidR="007F68D3" w:rsidRDefault="00000000">
            <w:pPr>
              <w:jc w:val="center"/>
            </w:pPr>
            <w:r>
              <w:t>67.6%</w:t>
            </w:r>
          </w:p>
        </w:tc>
      </w:tr>
      <w:tr w:rsidR="007F68D3" w14:paraId="4040A73D"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18FCA56E" w14:textId="77777777" w:rsidR="007F68D3" w:rsidRDefault="00000000">
            <w:r>
              <w:t>OAT Expansion</w:t>
            </w:r>
          </w:p>
        </w:tc>
        <w:tc>
          <w:tcPr>
            <w:tcW w:w="0" w:type="auto"/>
            <w:tcBorders>
              <w:top w:val="single" w:sz="1" w:space="0" w:color="000000"/>
              <w:left w:val="single" w:sz="1" w:space="0" w:color="000000"/>
              <w:bottom w:val="single" w:sz="1" w:space="0" w:color="000000"/>
              <w:right w:val="single" w:sz="1" w:space="0" w:color="000000"/>
            </w:tcBorders>
          </w:tcPr>
          <w:p w14:paraId="2F633F3C" w14:textId="77777777" w:rsidR="007F68D3" w:rsidRDefault="00000000">
            <w:pPr>
              <w:jc w:val="center"/>
            </w:pPr>
            <w:r>
              <w:t>21%</w:t>
            </w:r>
          </w:p>
        </w:tc>
        <w:tc>
          <w:tcPr>
            <w:tcW w:w="0" w:type="auto"/>
            <w:tcBorders>
              <w:top w:val="single" w:sz="1" w:space="0" w:color="000000"/>
              <w:left w:val="single" w:sz="1" w:space="0" w:color="000000"/>
              <w:bottom w:val="single" w:sz="1" w:space="0" w:color="000000"/>
              <w:right w:val="single" w:sz="1" w:space="0" w:color="000000"/>
            </w:tcBorders>
          </w:tcPr>
          <w:p w14:paraId="0D7DA536" w14:textId="77777777" w:rsidR="007F68D3" w:rsidRDefault="00000000">
            <w:pPr>
              <w:jc w:val="center"/>
            </w:pPr>
            <w:r>
              <w:t>40%</w:t>
            </w:r>
          </w:p>
        </w:tc>
        <w:tc>
          <w:tcPr>
            <w:tcW w:w="0" w:type="auto"/>
            <w:tcBorders>
              <w:top w:val="single" w:sz="1" w:space="0" w:color="000000"/>
              <w:left w:val="single" w:sz="1" w:space="0" w:color="000000"/>
              <w:bottom w:val="single" w:sz="1" w:space="0" w:color="000000"/>
              <w:right w:val="single" w:sz="1" w:space="0" w:color="000000"/>
            </w:tcBorders>
          </w:tcPr>
          <w:p w14:paraId="2837B5E0" w14:textId="77777777" w:rsidR="007F68D3" w:rsidRDefault="00000000">
            <w:pPr>
              <w:jc w:val="center"/>
            </w:pPr>
            <w:r>
              <w:t>96.1%</w:t>
            </w:r>
          </w:p>
        </w:tc>
        <w:tc>
          <w:tcPr>
            <w:tcW w:w="0" w:type="auto"/>
            <w:tcBorders>
              <w:top w:val="single" w:sz="1" w:space="0" w:color="000000"/>
              <w:left w:val="single" w:sz="1" w:space="0" w:color="000000"/>
              <w:bottom w:val="single" w:sz="1" w:space="0" w:color="000000"/>
              <w:right w:val="single" w:sz="1" w:space="0" w:color="000000"/>
            </w:tcBorders>
          </w:tcPr>
          <w:p w14:paraId="7C49211F" w14:textId="77777777" w:rsidR="007F68D3" w:rsidRDefault="00000000">
            <w:pPr>
              <w:jc w:val="center"/>
            </w:pPr>
            <w:r>
              <w:t>3.0</w:t>
            </w:r>
          </w:p>
        </w:tc>
        <w:tc>
          <w:tcPr>
            <w:tcW w:w="0" w:type="auto"/>
            <w:tcBorders>
              <w:top w:val="single" w:sz="1" w:space="0" w:color="000000"/>
              <w:left w:val="single" w:sz="1" w:space="0" w:color="000000"/>
              <w:bottom w:val="single" w:sz="1" w:space="0" w:color="000000"/>
              <w:right w:val="single" w:sz="1" w:space="0" w:color="000000"/>
            </w:tcBorders>
          </w:tcPr>
          <w:p w14:paraId="1C889ECC" w14:textId="77777777" w:rsidR="007F68D3" w:rsidRDefault="00000000">
            <w:pPr>
              <w:jc w:val="center"/>
            </w:pPr>
            <w:r>
              <w:t>70.0%</w:t>
            </w:r>
          </w:p>
        </w:tc>
      </w:tr>
      <w:tr w:rsidR="007F68D3" w14:paraId="63A45D2B"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0B5CB2AB" w14:textId="77777777" w:rsidR="007F68D3" w:rsidRDefault="00000000">
            <w:r>
              <w:t>Combined</w:t>
            </w:r>
          </w:p>
        </w:tc>
        <w:tc>
          <w:tcPr>
            <w:tcW w:w="0" w:type="auto"/>
            <w:tcBorders>
              <w:top w:val="single" w:sz="1" w:space="0" w:color="000000"/>
              <w:left w:val="single" w:sz="1" w:space="0" w:color="000000"/>
              <w:bottom w:val="single" w:sz="1" w:space="0" w:color="000000"/>
              <w:right w:val="single" w:sz="1" w:space="0" w:color="000000"/>
            </w:tcBorders>
          </w:tcPr>
          <w:p w14:paraId="7E3F05FC" w14:textId="77777777" w:rsidR="007F68D3" w:rsidRDefault="00000000">
            <w:pPr>
              <w:jc w:val="center"/>
            </w:pPr>
            <w:r>
              <w:t>50%</w:t>
            </w:r>
          </w:p>
        </w:tc>
        <w:tc>
          <w:tcPr>
            <w:tcW w:w="0" w:type="auto"/>
            <w:tcBorders>
              <w:top w:val="single" w:sz="1" w:space="0" w:color="000000"/>
              <w:left w:val="single" w:sz="1" w:space="0" w:color="000000"/>
              <w:bottom w:val="single" w:sz="1" w:space="0" w:color="000000"/>
              <w:right w:val="single" w:sz="1" w:space="0" w:color="000000"/>
            </w:tcBorders>
          </w:tcPr>
          <w:p w14:paraId="52D599C5" w14:textId="77777777" w:rsidR="007F68D3" w:rsidRDefault="00000000">
            <w:pPr>
              <w:jc w:val="center"/>
            </w:pPr>
            <w:r>
              <w:t>40%</w:t>
            </w:r>
          </w:p>
        </w:tc>
        <w:tc>
          <w:tcPr>
            <w:tcW w:w="0" w:type="auto"/>
            <w:tcBorders>
              <w:top w:val="single" w:sz="1" w:space="0" w:color="000000"/>
              <w:left w:val="single" w:sz="1" w:space="0" w:color="000000"/>
              <w:bottom w:val="single" w:sz="1" w:space="0" w:color="000000"/>
              <w:right w:val="single" w:sz="1" w:space="0" w:color="000000"/>
            </w:tcBorders>
          </w:tcPr>
          <w:p w14:paraId="6778F2C1" w14:textId="77777777" w:rsidR="007F68D3" w:rsidRDefault="00000000">
            <w:pPr>
              <w:jc w:val="center"/>
            </w:pPr>
            <w:r>
              <w:t>92.9%</w:t>
            </w:r>
          </w:p>
        </w:tc>
        <w:tc>
          <w:tcPr>
            <w:tcW w:w="0" w:type="auto"/>
            <w:tcBorders>
              <w:top w:val="single" w:sz="1" w:space="0" w:color="000000"/>
              <w:left w:val="single" w:sz="1" w:space="0" w:color="000000"/>
              <w:bottom w:val="single" w:sz="1" w:space="0" w:color="000000"/>
              <w:right w:val="single" w:sz="1" w:space="0" w:color="000000"/>
            </w:tcBorders>
          </w:tcPr>
          <w:p w14:paraId="2605CE4D" w14:textId="77777777" w:rsidR="007F68D3" w:rsidRDefault="00000000">
            <w:pPr>
              <w:jc w:val="center"/>
            </w:pPr>
            <w:r>
              <w:t>4.0</w:t>
            </w:r>
          </w:p>
        </w:tc>
        <w:tc>
          <w:tcPr>
            <w:tcW w:w="0" w:type="auto"/>
            <w:tcBorders>
              <w:top w:val="single" w:sz="1" w:space="0" w:color="000000"/>
              <w:left w:val="single" w:sz="1" w:space="0" w:color="000000"/>
              <w:bottom w:val="single" w:sz="1" w:space="0" w:color="000000"/>
              <w:right w:val="single" w:sz="1" w:space="0" w:color="000000"/>
            </w:tcBorders>
          </w:tcPr>
          <w:p w14:paraId="47C820EF" w14:textId="77777777" w:rsidR="007F68D3" w:rsidRDefault="00000000">
            <w:pPr>
              <w:jc w:val="center"/>
            </w:pPr>
            <w:r>
              <w:t>61.9%</w:t>
            </w:r>
          </w:p>
        </w:tc>
      </w:tr>
      <w:tr w:rsidR="007F68D3" w14:paraId="34949B5C"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33972D7D" w14:textId="77777777" w:rsidR="007F68D3" w:rsidRDefault="00000000">
            <w:r>
              <w:t>Decriminalization*</w:t>
            </w:r>
          </w:p>
        </w:tc>
        <w:tc>
          <w:tcPr>
            <w:tcW w:w="0" w:type="auto"/>
            <w:tcBorders>
              <w:top w:val="single" w:sz="1" w:space="0" w:color="000000"/>
              <w:left w:val="single" w:sz="1" w:space="0" w:color="000000"/>
              <w:bottom w:val="single" w:sz="1" w:space="0" w:color="000000"/>
              <w:right w:val="single" w:sz="1" w:space="0" w:color="000000"/>
            </w:tcBorders>
          </w:tcPr>
          <w:p w14:paraId="49B8D958" w14:textId="77777777" w:rsidR="007F68D3" w:rsidRDefault="00000000">
            <w:pPr>
              <w:jc w:val="center"/>
            </w:pPr>
            <w:r>
              <w:t>40%</w:t>
            </w:r>
          </w:p>
        </w:tc>
        <w:tc>
          <w:tcPr>
            <w:tcW w:w="0" w:type="auto"/>
            <w:tcBorders>
              <w:top w:val="single" w:sz="1" w:space="0" w:color="000000"/>
              <w:left w:val="single" w:sz="1" w:space="0" w:color="000000"/>
              <w:bottom w:val="single" w:sz="1" w:space="0" w:color="000000"/>
              <w:right w:val="single" w:sz="1" w:space="0" w:color="000000"/>
            </w:tcBorders>
          </w:tcPr>
          <w:p w14:paraId="5376E301" w14:textId="77777777" w:rsidR="007F68D3" w:rsidRDefault="00000000">
            <w:pPr>
              <w:jc w:val="center"/>
            </w:pPr>
            <w:r>
              <w:t>30%</w:t>
            </w:r>
          </w:p>
        </w:tc>
        <w:tc>
          <w:tcPr>
            <w:tcW w:w="0" w:type="auto"/>
            <w:tcBorders>
              <w:top w:val="single" w:sz="1" w:space="0" w:color="000000"/>
              <w:left w:val="single" w:sz="1" w:space="0" w:color="000000"/>
              <w:bottom w:val="single" w:sz="1" w:space="0" w:color="000000"/>
              <w:right w:val="single" w:sz="1" w:space="0" w:color="000000"/>
            </w:tcBorders>
          </w:tcPr>
          <w:p w14:paraId="12EF75A2" w14:textId="77777777" w:rsidR="007F68D3" w:rsidRDefault="00000000">
            <w:pPr>
              <w:jc w:val="center"/>
            </w:pPr>
            <w:r>
              <w:t>92.0%</w:t>
            </w:r>
          </w:p>
        </w:tc>
        <w:tc>
          <w:tcPr>
            <w:tcW w:w="0" w:type="auto"/>
            <w:tcBorders>
              <w:top w:val="single" w:sz="1" w:space="0" w:color="000000"/>
              <w:left w:val="single" w:sz="1" w:space="0" w:color="000000"/>
              <w:bottom w:val="single" w:sz="1" w:space="0" w:color="000000"/>
              <w:right w:val="single" w:sz="1" w:space="0" w:color="000000"/>
            </w:tcBorders>
          </w:tcPr>
          <w:p w14:paraId="07807A48" w14:textId="77777777" w:rsidR="007F68D3" w:rsidRDefault="00000000">
            <w:pPr>
              <w:jc w:val="center"/>
            </w:pPr>
            <w:r>
              <w:t>4.0</w:t>
            </w:r>
          </w:p>
        </w:tc>
        <w:tc>
          <w:tcPr>
            <w:tcW w:w="0" w:type="auto"/>
            <w:tcBorders>
              <w:top w:val="single" w:sz="1" w:space="0" w:color="000000"/>
              <w:left w:val="single" w:sz="1" w:space="0" w:color="000000"/>
              <w:bottom w:val="single" w:sz="1" w:space="0" w:color="000000"/>
              <w:right w:val="single" w:sz="1" w:space="0" w:color="000000"/>
            </w:tcBorders>
          </w:tcPr>
          <w:p w14:paraId="66DFD8FF" w14:textId="77777777" w:rsidR="007F68D3" w:rsidRDefault="00000000">
            <w:pPr>
              <w:jc w:val="center"/>
            </w:pPr>
            <w:r>
              <w:t>64.3%</w:t>
            </w:r>
          </w:p>
        </w:tc>
      </w:tr>
      <w:tr w:rsidR="007F68D3" w14:paraId="2AAB3E0A" w14:textId="77777777">
        <w:tblPrEx>
          <w:tblCellMar>
            <w:top w:w="0" w:type="dxa"/>
            <w:bottom w:w="0" w:type="dxa"/>
          </w:tblCellMar>
        </w:tblPrEx>
        <w:tc>
          <w:tcPr>
            <w:tcW w:w="0" w:type="auto"/>
            <w:tcBorders>
              <w:top w:val="single" w:sz="1" w:space="0" w:color="000000"/>
              <w:left w:val="single" w:sz="1" w:space="0" w:color="000000"/>
              <w:bottom w:val="single" w:sz="1" w:space="0" w:color="000000"/>
              <w:right w:val="single" w:sz="1" w:space="0" w:color="000000"/>
            </w:tcBorders>
          </w:tcPr>
          <w:p w14:paraId="4418E167" w14:textId="77777777" w:rsidR="007F68D3" w:rsidRDefault="00000000">
            <w:r>
              <w:t>Full HR*</w:t>
            </w:r>
          </w:p>
        </w:tc>
        <w:tc>
          <w:tcPr>
            <w:tcW w:w="0" w:type="auto"/>
            <w:tcBorders>
              <w:top w:val="single" w:sz="1" w:space="0" w:color="000000"/>
              <w:left w:val="single" w:sz="1" w:space="0" w:color="000000"/>
              <w:bottom w:val="single" w:sz="1" w:space="0" w:color="000000"/>
              <w:right w:val="single" w:sz="1" w:space="0" w:color="000000"/>
            </w:tcBorders>
          </w:tcPr>
          <w:p w14:paraId="098C031D" w14:textId="77777777" w:rsidR="007F68D3" w:rsidRDefault="00000000">
            <w:pPr>
              <w:jc w:val="center"/>
            </w:pPr>
            <w:r>
              <w:t>80%</w:t>
            </w:r>
          </w:p>
        </w:tc>
        <w:tc>
          <w:tcPr>
            <w:tcW w:w="0" w:type="auto"/>
            <w:tcBorders>
              <w:top w:val="single" w:sz="1" w:space="0" w:color="000000"/>
              <w:left w:val="single" w:sz="1" w:space="0" w:color="000000"/>
              <w:bottom w:val="single" w:sz="1" w:space="0" w:color="000000"/>
              <w:right w:val="single" w:sz="1" w:space="0" w:color="000000"/>
            </w:tcBorders>
          </w:tcPr>
          <w:p w14:paraId="5B602914" w14:textId="77777777" w:rsidR="007F68D3" w:rsidRDefault="00000000">
            <w:pPr>
              <w:jc w:val="center"/>
            </w:pPr>
            <w:r>
              <w:t>60%</w:t>
            </w:r>
          </w:p>
        </w:tc>
        <w:tc>
          <w:tcPr>
            <w:tcW w:w="0" w:type="auto"/>
            <w:tcBorders>
              <w:top w:val="single" w:sz="1" w:space="0" w:color="000000"/>
              <w:left w:val="single" w:sz="1" w:space="0" w:color="000000"/>
              <w:bottom w:val="single" w:sz="1" w:space="0" w:color="000000"/>
              <w:right w:val="single" w:sz="1" w:space="0" w:color="000000"/>
            </w:tcBorders>
          </w:tcPr>
          <w:p w14:paraId="1314D14A" w14:textId="77777777" w:rsidR="007F68D3" w:rsidRDefault="00000000">
            <w:pPr>
              <w:jc w:val="center"/>
            </w:pPr>
            <w:r>
              <w:t>78.9%</w:t>
            </w:r>
          </w:p>
        </w:tc>
        <w:tc>
          <w:tcPr>
            <w:tcW w:w="0" w:type="auto"/>
            <w:tcBorders>
              <w:top w:val="single" w:sz="1" w:space="0" w:color="000000"/>
              <w:left w:val="single" w:sz="1" w:space="0" w:color="000000"/>
              <w:bottom w:val="single" w:sz="1" w:space="0" w:color="000000"/>
              <w:right w:val="single" w:sz="1" w:space="0" w:color="000000"/>
            </w:tcBorders>
          </w:tcPr>
          <w:p w14:paraId="20ADC260" w14:textId="77777777" w:rsidR="007F68D3" w:rsidRDefault="00000000">
            <w:pPr>
              <w:jc w:val="center"/>
            </w:pPr>
            <w:r>
              <w:t>5.0</w:t>
            </w:r>
          </w:p>
        </w:tc>
        <w:tc>
          <w:tcPr>
            <w:tcW w:w="0" w:type="auto"/>
            <w:tcBorders>
              <w:top w:val="single" w:sz="1" w:space="0" w:color="000000"/>
              <w:left w:val="single" w:sz="1" w:space="0" w:color="000000"/>
              <w:bottom w:val="single" w:sz="1" w:space="0" w:color="000000"/>
              <w:right w:val="single" w:sz="1" w:space="0" w:color="000000"/>
            </w:tcBorders>
          </w:tcPr>
          <w:p w14:paraId="4506A315" w14:textId="77777777" w:rsidR="007F68D3" w:rsidRDefault="00000000">
            <w:pPr>
              <w:jc w:val="center"/>
            </w:pPr>
            <w:r>
              <w:t>50.8%</w:t>
            </w:r>
          </w:p>
        </w:tc>
      </w:tr>
    </w:tbl>
    <w:p w14:paraId="0677BE35" w14:textId="77777777" w:rsidR="007F68D3" w:rsidRDefault="00000000">
      <w:pPr>
        <w:spacing w:after="400"/>
      </w:pPr>
      <w:r>
        <w:rPr>
          <w:i/>
          <w:iCs/>
        </w:rPr>
        <w:t>*Includes reduced incarceration (10%/5%) and housing instability (50%/30%)</w:t>
      </w:r>
    </w:p>
    <w:p w14:paraId="3AC8B00D" w14:textId="77777777" w:rsidR="007F68D3" w:rsidRDefault="00000000">
      <w:r>
        <w:br w:type="page"/>
      </w:r>
    </w:p>
    <w:p w14:paraId="4016B06C" w14:textId="77777777" w:rsidR="007F68D3" w:rsidRDefault="00000000">
      <w:pPr>
        <w:spacing w:before="200" w:after="300"/>
      </w:pPr>
      <w:r>
        <w:rPr>
          <w:b/>
          <w:bCs/>
          <w:sz w:val="28"/>
          <w:szCs w:val="28"/>
        </w:rPr>
        <w:lastRenderedPageBreak/>
        <w:t>S2.9 Supplementary Figures</w:t>
      </w:r>
    </w:p>
    <w:p w14:paraId="417B06EF" w14:textId="77777777" w:rsidR="007F68D3" w:rsidRDefault="00000000">
      <w:pPr>
        <w:spacing w:after="200"/>
        <w:jc w:val="center"/>
      </w:pPr>
      <w:r>
        <w:rPr>
          <w:noProof/>
        </w:rPr>
        <w:drawing>
          <wp:inline distT="0" distB="0" distL="0" distR="0" wp14:anchorId="6ABBC711" wp14:editId="40D0C3BF">
            <wp:extent cx="4762500" cy="3571875"/>
            <wp:effectExtent l="0" t="0" r="0" b="0"/>
            <wp:docPr id="1" name="FigS1" descr="Contextual stochastic failure driver showing projected trajectories of exogenous network-density modifier across national and regional profiles" title="Fig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571875"/>
                    </a:xfrm>
                    <a:prstGeom prst="rect">
                      <a:avLst/>
                    </a:prstGeom>
                  </pic:spPr>
                </pic:pic>
              </a:graphicData>
            </a:graphic>
          </wp:inline>
        </w:drawing>
      </w:r>
    </w:p>
    <w:p w14:paraId="27C5E7A7" w14:textId="77777777" w:rsidR="007F68D3" w:rsidRDefault="00000000">
      <w:pPr>
        <w:spacing w:after="400" w:line="360" w:lineRule="auto"/>
      </w:pPr>
      <w:r>
        <w:rPr>
          <w:b/>
          <w:bCs/>
        </w:rPr>
        <w:t xml:space="preserve">Fig. S1 </w:t>
      </w:r>
      <w:r>
        <w:t>Contextual stochastic failure driver. Projected trajectories of an exogenous network-density modifier used to parameterize stochastic avoidance and outbreak probability models. The driver is treated as a contextual structural factor influencing network connectivity rather than an individual-level behavioral determinant. Trajectories show national average (solid line) and regional profiles (Appalachia, Pacific Northwest, Northeast Urban) with 2.5% annual growth from varying baselines. Shaded regions indicate parameter uncertainty ranges used in sensitivity analyses</w:t>
      </w:r>
    </w:p>
    <w:p w14:paraId="6E54A990" w14:textId="77777777" w:rsidR="007F68D3" w:rsidRDefault="00000000">
      <w:r>
        <w:br w:type="page"/>
      </w:r>
    </w:p>
    <w:p w14:paraId="40F9E67C" w14:textId="77777777" w:rsidR="007F68D3" w:rsidRDefault="00000000">
      <w:pPr>
        <w:spacing w:after="200"/>
        <w:jc w:val="center"/>
      </w:pPr>
      <w:r>
        <w:rPr>
          <w:noProof/>
        </w:rPr>
        <w:lastRenderedPageBreak/>
        <w:drawing>
          <wp:inline distT="0" distB="0" distL="0" distR="0" wp14:anchorId="23F257CC" wp14:editId="231EE5AF">
            <wp:extent cx="4762500" cy="3571875"/>
            <wp:effectExtent l="0" t="0" r="0" b="0"/>
            <wp:docPr id="425114961" name="FigS2" descr="National outbreak forecast showing cumulative probability over time and time-to-outbreak distribution" title="Fig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571875"/>
                    </a:xfrm>
                    <a:prstGeom prst="rect">
                      <a:avLst/>
                    </a:prstGeom>
                  </pic:spPr>
                </pic:pic>
              </a:graphicData>
            </a:graphic>
          </wp:inline>
        </w:drawing>
      </w:r>
    </w:p>
    <w:p w14:paraId="4E0BEF8C" w14:textId="77777777" w:rsidR="007F68D3" w:rsidRDefault="00000000">
      <w:pPr>
        <w:spacing w:after="400" w:line="360" w:lineRule="auto"/>
      </w:pPr>
      <w:r>
        <w:rPr>
          <w:b/>
          <w:bCs/>
        </w:rPr>
        <w:t xml:space="preserve">Fig. S2 </w:t>
      </w:r>
      <w:r>
        <w:t>National outbreak forecast. (a) Cumulative outbreak probability over time, reaching 73.8% at 5 years and 92.7% at 10 years under current policy conditions. (b) Distribution of time-to-outbreak across n=2,000 simulations showing median of 3.0 years (interquartile range 1–6 years). Vertical dashed lines indicate 5-year and 10-year horizons</w:t>
      </w:r>
    </w:p>
    <w:p w14:paraId="3AF1B928" w14:textId="77777777" w:rsidR="007F68D3" w:rsidRDefault="00000000">
      <w:r>
        <w:br w:type="page"/>
      </w:r>
    </w:p>
    <w:p w14:paraId="66591190" w14:textId="77777777" w:rsidR="007F68D3" w:rsidRDefault="00000000">
      <w:pPr>
        <w:spacing w:after="200"/>
        <w:jc w:val="center"/>
      </w:pPr>
      <w:r>
        <w:rPr>
          <w:noProof/>
        </w:rPr>
        <w:lastRenderedPageBreak/>
        <w:drawing>
          <wp:inline distT="0" distB="0" distL="0" distR="0" wp14:anchorId="735E235E" wp14:editId="7D7FC135">
            <wp:extent cx="4762500" cy="3571875"/>
            <wp:effectExtent l="0" t="0" r="0" b="0"/>
            <wp:docPr id="341281009" name="FigS3" descr="Tornado diagram showing parameter sensitivity analysis for 5-year outbreak probability" title="Fig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571875"/>
                    </a:xfrm>
                    <a:prstGeom prst="rect">
                      <a:avLst/>
                    </a:prstGeom>
                  </pic:spPr>
                </pic:pic>
              </a:graphicData>
            </a:graphic>
          </wp:inline>
        </w:drawing>
      </w:r>
    </w:p>
    <w:p w14:paraId="0203BFF2" w14:textId="77777777" w:rsidR="007F68D3" w:rsidRDefault="00000000">
      <w:pPr>
        <w:spacing w:after="400" w:line="360" w:lineRule="auto"/>
      </w:pPr>
      <w:r>
        <w:rPr>
          <w:b/>
          <w:bCs/>
        </w:rPr>
        <w:t xml:space="preserve">Fig. S3 </w:t>
      </w:r>
      <w:r>
        <w:t xml:space="preserve">Tornado diagram. Sensitivity of 5-year outbreak probability to parameter variation. Horizontal bars indicate change in </w:t>
      </w:r>
      <w:proofErr w:type="gramStart"/>
      <w:r>
        <w:t>P(</w:t>
      </w:r>
      <w:proofErr w:type="gramEnd"/>
      <w:r>
        <w:t>5-year outbreak) when each parameter is varied from lower to upper bound while holding others at baseline. Network expansion multiplier (8.2% range) and annual incarceration rate (8.1% range) show greatest influence; critical network threshold shows minimal sensitivity (0.04% range). Parameters ordered by magnitude of influence</w:t>
      </w:r>
    </w:p>
    <w:p w14:paraId="64E75957" w14:textId="77777777" w:rsidR="007F68D3" w:rsidRDefault="00000000">
      <w:r>
        <w:br w:type="page"/>
      </w:r>
    </w:p>
    <w:p w14:paraId="1A5B41D1" w14:textId="77777777" w:rsidR="007F68D3" w:rsidRDefault="00000000">
      <w:pPr>
        <w:spacing w:after="200"/>
        <w:jc w:val="center"/>
      </w:pPr>
      <w:r>
        <w:rPr>
          <w:noProof/>
        </w:rPr>
        <w:lastRenderedPageBreak/>
        <w:drawing>
          <wp:inline distT="0" distB="0" distL="0" distR="0" wp14:anchorId="29241C65" wp14:editId="69621832">
            <wp:extent cx="4762500" cy="3571875"/>
            <wp:effectExtent l="0" t="0" r="0" b="0"/>
            <wp:docPr id="1709662567" name="FigS4" descr="Policy scenario comparison showing outbreak probability under different intervention combinations" title="Fig 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3571875"/>
                    </a:xfrm>
                    <a:prstGeom prst="rect">
                      <a:avLst/>
                    </a:prstGeom>
                  </pic:spPr>
                </pic:pic>
              </a:graphicData>
            </a:graphic>
          </wp:inline>
        </w:drawing>
      </w:r>
    </w:p>
    <w:p w14:paraId="39F8A5ED" w14:textId="77777777" w:rsidR="007F68D3" w:rsidRDefault="00000000">
      <w:pPr>
        <w:spacing w:after="400" w:line="360" w:lineRule="auto"/>
      </w:pPr>
      <w:r>
        <w:rPr>
          <w:b/>
          <w:bCs/>
        </w:rPr>
        <w:t xml:space="preserve">Fig. S4 </w:t>
      </w:r>
      <w:r>
        <w:t xml:space="preserve">Policy scenario comparison. Five-year outbreak probability across policy interventions from Current Policy (69.5%) to Full Harm Reduction (50.8%). Scenarios </w:t>
      </w:r>
      <w:proofErr w:type="gramStart"/>
      <w:r>
        <w:t>include:</w:t>
      </w:r>
      <w:proofErr w:type="gramEnd"/>
      <w:r>
        <w:t xml:space="preserve"> Current Policy (21% SSP, 8% OAT); SSP Expansion (50% SSP); OAT Expansion (40% OAT); Combined SSP+OAT; Decriminalization (reduced incarceration to 10%, housing instability to 50%); Full Harm Reduction (80% SSP, 60% OAT, 5% incarceration, 30% housing instability). Error bars indicate 95% confidence intervals from n=1,000 simulations per scenario</w:t>
      </w:r>
    </w:p>
    <w:p w14:paraId="13023504" w14:textId="77777777" w:rsidR="007F68D3" w:rsidRDefault="00000000">
      <w:r>
        <w:br w:type="page"/>
      </w:r>
    </w:p>
    <w:p w14:paraId="56B88B9B" w14:textId="77777777" w:rsidR="007F68D3" w:rsidRDefault="00000000">
      <w:pPr>
        <w:spacing w:after="200"/>
        <w:jc w:val="center"/>
      </w:pPr>
      <w:r>
        <w:rPr>
          <w:noProof/>
        </w:rPr>
        <w:lastRenderedPageBreak/>
        <w:drawing>
          <wp:inline distT="0" distB="0" distL="0" distR="0" wp14:anchorId="73471745" wp14:editId="09549B7F">
            <wp:extent cx="5238750" cy="2857500"/>
            <wp:effectExtent l="0" t="0" r="0" b="0"/>
            <wp:docPr id="551508710" name="FigS5" descr="Detailed policy scenario comparison showing PWID LAI-PrEP success rate by policy scenario" title="Fig 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857500"/>
                    </a:xfrm>
                    <a:prstGeom prst="rect">
                      <a:avLst/>
                    </a:prstGeom>
                  </pic:spPr>
                </pic:pic>
              </a:graphicData>
            </a:graphic>
          </wp:inline>
        </w:drawing>
      </w:r>
    </w:p>
    <w:p w14:paraId="00D09925" w14:textId="77777777" w:rsidR="007F68D3" w:rsidRDefault="00000000">
      <w:pPr>
        <w:spacing w:after="400" w:line="360" w:lineRule="auto"/>
      </w:pPr>
      <w:r>
        <w:rPr>
          <w:b/>
          <w:bCs/>
        </w:rPr>
        <w:t xml:space="preserve">Fig. S5 </w:t>
      </w:r>
      <w:r>
        <w:t>Policy scenario detail: cascade success rates. Probability of achieving sustained HIV prevention P(R</w:t>
      </w:r>
      <w:r>
        <w:rPr>
          <w:vertAlign w:val="superscript"/>
        </w:rPr>
        <w:t>0</w:t>
      </w:r>
      <w:r>
        <w:t>=0) across policy scenarios for PWID. Values range from 0.003% (Current Policy) to 19.74% (Theoretical Maximum). SSP-Integrated Delivery achieves 5.00%, Full Harm Reduction achieves 9.55%, and Full HR + Algorithmic Debiasing achieves 18.57%, exceeding the MSM reference rate of 16.3%</w:t>
      </w:r>
    </w:p>
    <w:p w14:paraId="5D8FE021" w14:textId="77777777" w:rsidR="007F68D3" w:rsidRDefault="00000000">
      <w:r>
        <w:br w:type="page"/>
      </w:r>
    </w:p>
    <w:p w14:paraId="73963AF6" w14:textId="77777777" w:rsidR="007F68D3" w:rsidRDefault="00000000">
      <w:pPr>
        <w:spacing w:before="200" w:after="200"/>
      </w:pPr>
      <w:r>
        <w:rPr>
          <w:b/>
          <w:bCs/>
          <w:sz w:val="28"/>
          <w:szCs w:val="28"/>
        </w:rPr>
        <w:lastRenderedPageBreak/>
        <w:t>Code Availability</w:t>
      </w:r>
    </w:p>
    <w:p w14:paraId="6560E707" w14:textId="77777777" w:rsidR="007F68D3" w:rsidRDefault="00000000">
      <w:pPr>
        <w:spacing w:after="200" w:line="480" w:lineRule="auto"/>
      </w:pPr>
      <w:r>
        <w:t xml:space="preserve">All code: </w:t>
      </w:r>
      <w:r>
        <w:rPr>
          <w:b/>
          <w:bCs/>
        </w:rPr>
        <w:t>https://github.com/Nyx-Dynamics/HIV_Prevention_PWID</w:t>
      </w:r>
    </w:p>
    <w:p w14:paraId="518BD487" w14:textId="77777777" w:rsidR="007F68D3" w:rsidRDefault="00000000">
      <w:pPr>
        <w:spacing w:after="200" w:line="480" w:lineRule="auto"/>
      </w:pPr>
      <w:r>
        <w:t>Key files: stochastic_avoidance_enhanced.py, config/parameters.json</w:t>
      </w:r>
    </w:p>
    <w:p w14:paraId="7C6528D7" w14:textId="77777777" w:rsidR="007F68D3" w:rsidRDefault="00000000">
      <w:pPr>
        <w:spacing w:before="300" w:after="200"/>
      </w:pPr>
      <w:r>
        <w:rPr>
          <w:b/>
          <w:bCs/>
          <w:sz w:val="28"/>
          <w:szCs w:val="28"/>
        </w:rPr>
        <w:t>S2.10 References</w:t>
      </w:r>
    </w:p>
    <w:p w14:paraId="4FDCAC3A" w14:textId="77777777" w:rsidR="007F68D3" w:rsidRDefault="00000000">
      <w:pPr>
        <w:spacing w:after="100" w:line="360" w:lineRule="auto"/>
      </w:pPr>
      <w:r>
        <w:t>References are numbered continuously with the main text. Key references for Online Resource S2:</w:t>
      </w:r>
    </w:p>
    <w:p w14:paraId="5FC80B1B" w14:textId="77777777" w:rsidR="007F68D3" w:rsidRDefault="00000000">
      <w:pPr>
        <w:spacing w:after="100" w:line="360" w:lineRule="auto"/>
      </w:pPr>
      <w:r>
        <w:t>[3] DeBeck K, et al. HIV and the criminalisation of drug use among people who inject drugs: a systematic review. Lancet HIV. 2017;4(8</w:t>
      </w:r>
      <w:proofErr w:type="gramStart"/>
      <w:r>
        <w:t>):e</w:t>
      </w:r>
      <w:proofErr w:type="gramEnd"/>
      <w:r>
        <w:t>357–e374. https://doi.org/10.1016/S2352-3018(17)30073-5</w:t>
      </w:r>
    </w:p>
    <w:p w14:paraId="185EE314" w14:textId="77777777" w:rsidR="007F68D3" w:rsidRDefault="00000000">
      <w:pPr>
        <w:spacing w:after="100" w:line="360" w:lineRule="auto"/>
      </w:pPr>
      <w:r>
        <w:t>[4] Stone J, et al. Incarceration history and risk of HIV and hepatitis C virus acquisition among people who inject drugs. Lancet Infect Dis. 2018;18(12):1397–1409. https://doi.org/10.1016/S1473-3099(18)30469-9</w:t>
      </w:r>
    </w:p>
    <w:p w14:paraId="0B3A28B2" w14:textId="77777777" w:rsidR="007F68D3" w:rsidRDefault="00000000">
      <w:pPr>
        <w:spacing w:after="100" w:line="360" w:lineRule="auto"/>
      </w:pPr>
      <w:r>
        <w:t>[9] Strathdee SA, et al. Preventing HIV outbreaks among people who inject drugs in the United States. AIDS. 2020;34(14):1997–2005. https://doi.org/10.1097/QAD.0000000000002673</w:t>
      </w:r>
    </w:p>
    <w:p w14:paraId="5137F181" w14:textId="77777777" w:rsidR="007F68D3" w:rsidRDefault="00000000">
      <w:pPr>
        <w:spacing w:after="100" w:line="360" w:lineRule="auto"/>
      </w:pPr>
      <w:r>
        <w:t xml:space="preserve">[10] Des Jarlais DC, et al. Potential disruptions of HIV prevention among people who inject drugs in NYC from the COVID-19 pandemic. Drug Alcohol Depend. </w:t>
      </w:r>
      <w:proofErr w:type="gramStart"/>
      <w:r>
        <w:t>2022;227:109505</w:t>
      </w:r>
      <w:proofErr w:type="gramEnd"/>
      <w:r>
        <w:t>. https://doi.org/10.1016/j.drugalcdep.2022.109505</w:t>
      </w:r>
    </w:p>
    <w:p w14:paraId="6A38CE95" w14:textId="77777777" w:rsidR="007F68D3" w:rsidRDefault="00000000">
      <w:pPr>
        <w:spacing w:after="100" w:line="360" w:lineRule="auto"/>
      </w:pPr>
      <w:r>
        <w:t>[14] Van Handel MM, et al. County-level vulnerability assessment for rapid dissemination of HIV or HCV infections among persons who inject drugs. J Acquir Immune Defic Syndr. 2016;73(3):323–331. https://doi.org/10.1097/QAI.0000000000001098</w:t>
      </w:r>
    </w:p>
    <w:p w14:paraId="205A1979" w14:textId="77777777" w:rsidR="007F68D3" w:rsidRDefault="00000000">
      <w:pPr>
        <w:spacing w:after="100" w:line="360" w:lineRule="auto"/>
      </w:pPr>
      <w:r>
        <w:t>[15] Arum C, et al. Homelessness, unstable housing, and HIV and hepatitis C virus acquisition risk among people who inject drugs. Lancet Public Health. 2021;6(5</w:t>
      </w:r>
      <w:proofErr w:type="gramStart"/>
      <w:r>
        <w:t>):e</w:t>
      </w:r>
      <w:proofErr w:type="gramEnd"/>
      <w:r>
        <w:t>309–e323. https://doi.org/10.1016/S2468-2667(21)00013-X</w:t>
      </w:r>
    </w:p>
    <w:p w14:paraId="3B900DA6" w14:textId="77777777" w:rsidR="007F68D3" w:rsidRDefault="00000000">
      <w:pPr>
        <w:spacing w:after="100" w:line="360" w:lineRule="auto"/>
      </w:pPr>
      <w:r>
        <w:t xml:space="preserve">[16] Glick SN, et al. Increasing methamphetamine injection among non-MSM who inject drugs in King County, Washington. Drug Alcohol Depend. </w:t>
      </w:r>
      <w:proofErr w:type="gramStart"/>
      <w:r>
        <w:t>2018;182:86</w:t>
      </w:r>
      <w:proofErr w:type="gramEnd"/>
      <w:r>
        <w:t>–92. https://doi.org/10.1016/j.drugalcdep.2017.10.011</w:t>
      </w:r>
    </w:p>
    <w:p w14:paraId="20687937" w14:textId="77777777" w:rsidR="007F68D3" w:rsidRDefault="00000000">
      <w:pPr>
        <w:spacing w:after="100" w:line="360" w:lineRule="auto"/>
      </w:pPr>
      <w:r>
        <w:lastRenderedPageBreak/>
        <w:t>[17] Alpren C, et al. Opioid use fueling HIV transmission: an outbreak of HIV infection among people who inject drugs—Massachusetts. Am J Public Health. 2020;110(1):37–44. https://doi.org/10.2105/AJPH.2019.305366</w:t>
      </w:r>
    </w:p>
    <w:p w14:paraId="62FEF9A3" w14:textId="77777777" w:rsidR="007F68D3" w:rsidRDefault="00000000">
      <w:pPr>
        <w:spacing w:after="100" w:line="360" w:lineRule="auto"/>
      </w:pPr>
      <w:r>
        <w:t>[18] Bonacci RA, et al. Prevention and care opportunities for people who inject drugs in an HIV outbreak—Kanawha County, West Virginia. J Gen Intern Med. 2023;38(3):828–831. https://doi.org/10.1007/s11606-022-07875-w</w:t>
      </w:r>
    </w:p>
    <w:sectPr w:rsidR="007F68D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C4D6F" w14:textId="77777777" w:rsidR="001E0324" w:rsidRDefault="001E0324">
      <w:r>
        <w:separator/>
      </w:r>
    </w:p>
  </w:endnote>
  <w:endnote w:type="continuationSeparator" w:id="0">
    <w:p w14:paraId="21E6B8C6" w14:textId="77777777" w:rsidR="001E0324" w:rsidRDefault="001E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BB23" w14:textId="77777777" w:rsidR="007F68D3" w:rsidRDefault="00000000">
    <w:pPr>
      <w:jc w:val="center"/>
    </w:pPr>
    <w:r>
      <w:rPr>
        <w:sz w:val="20"/>
        <w:szCs w:val="20"/>
      </w:rPr>
      <w:t>S2-</w:t>
    </w:r>
    <w:r>
      <w:rPr>
        <w:sz w:val="20"/>
        <w:szCs w:val="20"/>
      </w:rPr>
      <w:fldChar w:fldCharType="begin"/>
    </w:r>
    <w:r>
      <w:rPr>
        <w:sz w:val="20"/>
        <w:szCs w:val="20"/>
      </w:rPr>
      <w:instrText>PAGE</w:instrText>
    </w:r>
    <w:r>
      <w:rPr>
        <w:sz w:val="20"/>
        <w:szCs w:val="20"/>
      </w:rPr>
      <w:fldChar w:fldCharType="separate"/>
    </w:r>
    <w:r w:rsidR="000B793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6EB2" w14:textId="77777777" w:rsidR="001E0324" w:rsidRDefault="001E0324">
      <w:r>
        <w:separator/>
      </w:r>
    </w:p>
  </w:footnote>
  <w:footnote w:type="continuationSeparator" w:id="0">
    <w:p w14:paraId="78E02018" w14:textId="77777777" w:rsidR="001E0324" w:rsidRDefault="001E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202D2" w14:textId="77777777" w:rsidR="007F68D3" w:rsidRDefault="00000000">
    <w:pPr>
      <w:jc w:val="right"/>
    </w:pPr>
    <w:r>
      <w:rPr>
        <w:i/>
        <w:iCs/>
        <w:sz w:val="20"/>
        <w:szCs w:val="20"/>
      </w:rPr>
      <w:t>Online Resource S2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56F70"/>
    <w:multiLevelType w:val="hybridMultilevel"/>
    <w:tmpl w:val="D43A3426"/>
    <w:lvl w:ilvl="0" w:tplc="09B856D4">
      <w:start w:val="1"/>
      <w:numFmt w:val="bullet"/>
      <w:lvlText w:val="●"/>
      <w:lvlJc w:val="left"/>
      <w:pPr>
        <w:ind w:left="720" w:hanging="360"/>
      </w:pPr>
    </w:lvl>
    <w:lvl w:ilvl="1" w:tplc="74729368">
      <w:start w:val="1"/>
      <w:numFmt w:val="bullet"/>
      <w:lvlText w:val="○"/>
      <w:lvlJc w:val="left"/>
      <w:pPr>
        <w:ind w:left="1440" w:hanging="360"/>
      </w:pPr>
    </w:lvl>
    <w:lvl w:ilvl="2" w:tplc="90A0CF5C">
      <w:start w:val="1"/>
      <w:numFmt w:val="bullet"/>
      <w:lvlText w:val="■"/>
      <w:lvlJc w:val="left"/>
      <w:pPr>
        <w:ind w:left="2160" w:hanging="360"/>
      </w:pPr>
    </w:lvl>
    <w:lvl w:ilvl="3" w:tplc="7E76E82E">
      <w:start w:val="1"/>
      <w:numFmt w:val="bullet"/>
      <w:lvlText w:val="●"/>
      <w:lvlJc w:val="left"/>
      <w:pPr>
        <w:ind w:left="2880" w:hanging="360"/>
      </w:pPr>
    </w:lvl>
    <w:lvl w:ilvl="4" w:tplc="E42C2A9A">
      <w:start w:val="1"/>
      <w:numFmt w:val="bullet"/>
      <w:lvlText w:val="○"/>
      <w:lvlJc w:val="left"/>
      <w:pPr>
        <w:ind w:left="3600" w:hanging="360"/>
      </w:pPr>
    </w:lvl>
    <w:lvl w:ilvl="5" w:tplc="A9B04066">
      <w:start w:val="1"/>
      <w:numFmt w:val="bullet"/>
      <w:lvlText w:val="■"/>
      <w:lvlJc w:val="left"/>
      <w:pPr>
        <w:ind w:left="4320" w:hanging="360"/>
      </w:pPr>
    </w:lvl>
    <w:lvl w:ilvl="6" w:tplc="15908AB0">
      <w:start w:val="1"/>
      <w:numFmt w:val="bullet"/>
      <w:lvlText w:val="●"/>
      <w:lvlJc w:val="left"/>
      <w:pPr>
        <w:ind w:left="5040" w:hanging="360"/>
      </w:pPr>
    </w:lvl>
    <w:lvl w:ilvl="7" w:tplc="E9FCFB16">
      <w:start w:val="1"/>
      <w:numFmt w:val="bullet"/>
      <w:lvlText w:val="●"/>
      <w:lvlJc w:val="left"/>
      <w:pPr>
        <w:ind w:left="5760" w:hanging="360"/>
      </w:pPr>
    </w:lvl>
    <w:lvl w:ilvl="8" w:tplc="10A2558C">
      <w:start w:val="1"/>
      <w:numFmt w:val="bullet"/>
      <w:lvlText w:val="●"/>
      <w:lvlJc w:val="left"/>
      <w:pPr>
        <w:ind w:left="6480" w:hanging="360"/>
      </w:pPr>
    </w:lvl>
  </w:abstractNum>
  <w:num w:numId="1" w16cid:durableId="916785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8D3"/>
    <w:rsid w:val="000B7931"/>
    <w:rsid w:val="001E0324"/>
    <w:rsid w:val="007F68D3"/>
    <w:rsid w:val="008D3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DF9148"/>
  <w15:docId w15:val="{AD1B79A8-57A6-1349-B5D7-9653EFC1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1129</Words>
  <Characters>7296</Characters>
  <Application>Microsoft Office Word</Application>
  <DocSecurity>0</DocSecurity>
  <Lines>289</Lines>
  <Paragraphs>220</Paragraphs>
  <ScaleCrop>false</ScaleCrop>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2</cp:revision>
  <dcterms:created xsi:type="dcterms:W3CDTF">2026-01-07T04:59:00Z</dcterms:created>
  <dcterms:modified xsi:type="dcterms:W3CDTF">2026-01-10T18:04:00Z</dcterms:modified>
</cp:coreProperties>
</file>