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45FB6F" w14:textId="77777777" w:rsidR="00C0354B" w:rsidRDefault="00C0354B" w:rsidP="00C0354B">
      <w:pPr>
        <w:pStyle w:val="NormalWeb"/>
        <w:rPr>
          <w:color w:val="000000"/>
        </w:rPr>
      </w:pPr>
      <w:r>
        <w:rPr>
          <w:color w:val="000000"/>
        </w:rPr>
        <w:t>A.C. Demidont, DO, AAHIVS</w:t>
      </w:r>
      <w:r>
        <w:rPr>
          <w:color w:val="000000"/>
        </w:rPr>
        <w:br/>
        <w:t>Sole Founder, Nyx Dynamics LLC</w:t>
      </w:r>
      <w:r>
        <w:rPr>
          <w:color w:val="000000"/>
        </w:rPr>
        <w:br/>
        <w:t>Philadelphia, PA</w:t>
      </w:r>
      <w:r>
        <w:rPr>
          <w:color w:val="000000"/>
        </w:rPr>
        <w:br/>
        <w:t>ORCID: 0000-0002-9216-8569</w:t>
      </w:r>
      <w:r>
        <w:rPr>
          <w:color w:val="000000"/>
        </w:rPr>
        <w:br/>
        <w:t>acdemidont@nyxdynamics.com</w:t>
      </w:r>
    </w:p>
    <w:p w14:paraId="65CBA65E" w14:textId="77777777" w:rsidR="00C0354B" w:rsidRDefault="00C0354B" w:rsidP="00C0354B">
      <w:pPr>
        <w:pStyle w:val="NormalWeb"/>
        <w:rPr>
          <w:color w:val="000000"/>
        </w:rPr>
      </w:pPr>
      <w:r>
        <w:rPr>
          <w:color w:val="000000"/>
        </w:rPr>
        <w:t>June 5, 2026</w:t>
      </w:r>
    </w:p>
    <w:p w14:paraId="50BA4435" w14:textId="77777777" w:rsidR="00C0354B" w:rsidRDefault="00C0354B" w:rsidP="00C0354B">
      <w:pPr>
        <w:pStyle w:val="NormalWeb"/>
        <w:rPr>
          <w:color w:val="000000"/>
        </w:rPr>
      </w:pPr>
      <w:r>
        <w:rPr>
          <w:color w:val="000000"/>
        </w:rPr>
        <w:t>Editors-in-Chief</w:t>
      </w:r>
      <w:r>
        <w:rPr>
          <w:color w:val="000000"/>
        </w:rPr>
        <w:br/>
      </w:r>
      <w:r>
        <w:rPr>
          <w:rStyle w:val="Emphasis"/>
          <w:color w:val="000000"/>
        </w:rPr>
        <w:t>PLOS Computational Biology</w:t>
      </w:r>
    </w:p>
    <w:p w14:paraId="14D779DA" w14:textId="77777777" w:rsidR="00C0354B" w:rsidRDefault="00C0354B" w:rsidP="00C0354B">
      <w:pPr>
        <w:pStyle w:val="NormalWeb"/>
        <w:rPr>
          <w:color w:val="000000"/>
        </w:rPr>
      </w:pPr>
      <w:r>
        <w:rPr>
          <w:color w:val="000000"/>
        </w:rPr>
        <w:t>Dear Editors:</w:t>
      </w:r>
    </w:p>
    <w:p w14:paraId="296A5672" w14:textId="77777777" w:rsidR="00C0354B" w:rsidRDefault="00C0354B" w:rsidP="00C0354B">
      <w:pPr>
        <w:pStyle w:val="NormalWeb"/>
        <w:rPr>
          <w:color w:val="000000"/>
        </w:rPr>
      </w:pPr>
      <w:r>
        <w:rPr>
          <w:color w:val="000000"/>
        </w:rPr>
        <w:t>I am pleased to submit for your consideration the manuscript</w:t>
      </w:r>
      <w:r>
        <w:rPr>
          <w:rStyle w:val="apple-converted-space"/>
          <w:color w:val="000000"/>
        </w:rPr>
        <w:t> </w:t>
      </w:r>
      <w:r>
        <w:rPr>
          <w:rStyle w:val="Strong"/>
          <w:color w:val="000000"/>
        </w:rPr>
        <w:t>“The HIV Post-Exposure Prophylaxis Window: A Multiscale Framework Linking Within-Host Integration Kinetics to Population-Scale Structural Access.”</w:t>
      </w:r>
      <w:r>
        <w:rPr>
          <w:rStyle w:val="apple-converted-space"/>
          <w:color w:val="000000"/>
        </w:rPr>
        <w:t> </w:t>
      </w:r>
      <w:r>
        <w:rPr>
          <w:color w:val="000000"/>
        </w:rPr>
        <w:t>I am the sole author.</w:t>
      </w:r>
    </w:p>
    <w:p w14:paraId="6F831A5E" w14:textId="77777777" w:rsidR="00C0354B" w:rsidRDefault="00C0354B" w:rsidP="00C0354B">
      <w:pPr>
        <w:pStyle w:val="NormalWeb"/>
        <w:rPr>
          <w:color w:val="000000"/>
        </w:rPr>
      </w:pPr>
      <w:r>
        <w:rPr>
          <w:color w:val="000000"/>
        </w:rPr>
        <w:t>This manuscript develops a mathematical and computational framework for deriving the finite prevention window for HIV post-exposure prophylaxis (PEP) from within-host integration kinetics rather than from clinical convention. The model combines stochastic founder-phase tau-leaping, deterministic target-cell ODE handoff, and an eclipse-phase delay anchored on established HIV viral-dynamics literature. This multiscale architecture yields an emergent route-dependent prevention window: approximately</w:t>
      </w:r>
      <w:r>
        <w:rPr>
          <w:rStyle w:val="apple-converted-space"/>
          <w:color w:val="000000"/>
        </w:rPr>
        <w:t> </w:t>
      </w:r>
      <w:r>
        <w:rPr>
          <w:rStyle w:val="Strong"/>
          <w:color w:val="000000"/>
        </w:rPr>
        <w:t>34.5 hours for parenteral exposure</w:t>
      </w:r>
      <w:r>
        <w:rPr>
          <w:rStyle w:val="apple-converted-space"/>
          <w:color w:val="000000"/>
        </w:rPr>
        <w:t> </w:t>
      </w:r>
      <w:r>
        <w:rPr>
          <w:color w:val="000000"/>
        </w:rPr>
        <w:t>and</w:t>
      </w:r>
      <w:r>
        <w:rPr>
          <w:rStyle w:val="apple-converted-space"/>
          <w:color w:val="000000"/>
        </w:rPr>
        <w:t> </w:t>
      </w:r>
      <w:r>
        <w:rPr>
          <w:rStyle w:val="Strong"/>
          <w:color w:val="000000"/>
        </w:rPr>
        <w:t>60.5 hours for mucosal exposure</w:t>
      </w:r>
      <w:r>
        <w:rPr>
          <w:color w:val="000000"/>
        </w:rPr>
        <w:t>, corresponding to an approximately</w:t>
      </w:r>
      <w:r>
        <w:rPr>
          <w:rStyle w:val="apple-converted-space"/>
          <w:color w:val="000000"/>
        </w:rPr>
        <w:t> </w:t>
      </w:r>
      <w:r>
        <w:rPr>
          <w:rStyle w:val="Strong"/>
          <w:color w:val="000000"/>
        </w:rPr>
        <w:t>1.75-fold compression</w:t>
      </w:r>
      <w:r>
        <w:rPr>
          <w:rStyle w:val="apple-converted-space"/>
          <w:color w:val="000000"/>
        </w:rPr>
        <w:t> </w:t>
      </w:r>
      <w:r>
        <w:rPr>
          <w:color w:val="000000"/>
        </w:rPr>
        <w:t>that is concordant with the compression range observed across nonhuman-primate PEP timing studies.</w:t>
      </w:r>
    </w:p>
    <w:p w14:paraId="139788E1" w14:textId="77777777" w:rsidR="00C0354B" w:rsidRDefault="00C0354B" w:rsidP="00C0354B">
      <w:pPr>
        <w:pStyle w:val="NormalWeb"/>
        <w:rPr>
          <w:color w:val="000000"/>
        </w:rPr>
      </w:pPr>
      <w:r>
        <w:rPr>
          <w:color w:val="000000"/>
        </w:rPr>
        <w:t xml:space="preserve">The computational contribution is threefold. First, the manuscript proves a finite-window theorem showing that PEP efficacy decays monotonically to zero once irreversible proviral integration is reached. Second, it replaces fixed stage-efficacy assumptions with a PK-driven kinetic-onset framework for TDF/FTC plus dolutegravir, separating pharmacologic drug accumulation from biological </w:t>
      </w:r>
      <w:proofErr w:type="spellStart"/>
      <w:r>
        <w:rPr>
          <w:color w:val="000000"/>
        </w:rPr>
        <w:t>clearability</w:t>
      </w:r>
      <w:proofErr w:type="spellEnd"/>
      <w:r>
        <w:rPr>
          <w:color w:val="000000"/>
        </w:rPr>
        <w:t>. Third, it links within-host kinetics to structural access through city-stratified modeling across 34 high-burden U.S. metropolitan areas, with a pharmacy-access corridor analysis showing how structural and dispensing delays displace acquisition time toward a route-specific integration cliff.</w:t>
      </w:r>
    </w:p>
    <w:p w14:paraId="376AD576" w14:textId="77777777" w:rsidR="00C0354B" w:rsidRDefault="00C0354B" w:rsidP="00C0354B">
      <w:pPr>
        <w:pStyle w:val="NormalWeb"/>
        <w:rPr>
          <w:color w:val="000000"/>
        </w:rPr>
      </w:pPr>
      <w:r>
        <w:rPr>
          <w:color w:val="000000"/>
        </w:rPr>
        <w:t>The population-level conclusion is intentionally framed conservatively. Companion cascade-based analyses estimate</w:t>
      </w:r>
      <w:r>
        <w:rPr>
          <w:rStyle w:val="apple-converted-space"/>
          <w:color w:val="000000"/>
        </w:rPr>
        <w:t> </w:t>
      </w:r>
      <w:r>
        <w:rPr>
          <w:rStyle w:val="Strong"/>
          <w:color w:val="000000"/>
        </w:rPr>
        <w:t>0.003–0.7%</w:t>
      </w:r>
      <w:r>
        <w:rPr>
          <w:rStyle w:val="apple-converted-space"/>
          <w:color w:val="000000"/>
        </w:rPr>
        <w:t> </w:t>
      </w:r>
      <w:r>
        <w:rPr>
          <w:color w:val="000000"/>
        </w:rPr>
        <w:t>population-level prevention success for PWID under current U.S. policy, while the</w:t>
      </w:r>
      <w:r>
        <w:rPr>
          <w:rStyle w:val="apple-converted-space"/>
          <w:color w:val="000000"/>
        </w:rPr>
        <w:t> </w:t>
      </w:r>
      <m:oMath>
        <m:sSub>
          <m:sSubPr>
            <m:ctrlPr>
              <w:rPr>
                <w:rFonts w:ascii="Cambria Math" w:hAnsi="Cambria Math"/>
              </w:rPr>
            </m:ctrlPr>
          </m:sSubPr>
          <m:e>
            <m:r>
              <w:rPr>
                <w:rFonts w:ascii="Cambria Math" w:hAnsi="Cambria Math"/>
              </w:rPr>
              <m:t>F</m:t>
            </m:r>
          </m:e>
          <m:sub>
            <m:r>
              <m:rPr>
                <m:nor/>
              </m:rPr>
              <m:t>access</m:t>
            </m:r>
          </m:sub>
        </m:sSub>
        <m:r>
          <w:rPr>
            <w:rFonts w:ascii="Cambria Math" w:hAnsi="Cambria Math"/>
          </w:rPr>
          <m:t>×</m:t>
        </m:r>
        <m:sSub>
          <m:sSubPr>
            <m:ctrlPr>
              <w:rPr>
                <w:rFonts w:ascii="Cambria Math" w:hAnsi="Cambria Math"/>
              </w:rPr>
            </m:ctrlPr>
          </m:sSubPr>
          <m:e>
            <m:r>
              <w:rPr>
                <w:rFonts w:ascii="Cambria Math" w:hAnsi="Cambria Math"/>
              </w:rPr>
              <m:t>t</m:t>
            </m:r>
          </m:e>
          <m:sub>
            <m:r>
              <m:rPr>
                <m:nor/>
              </m:rPr>
              <m:t>crit</m:t>
            </m:r>
          </m:sub>
        </m:sSub>
      </m:oMath>
      <w:r>
        <w:rPr>
          <w:rStyle w:val="apple-converted-space"/>
          <w:color w:val="000000"/>
        </w:rPr>
        <w:t> </w:t>
      </w:r>
      <w:r>
        <w:rPr>
          <w:color w:val="000000"/>
        </w:rPr>
        <w:t>inequality is retained only as an analytical consistency bound. The primary mechanistic access result is the PK/PD corridor analysis: pharmacy delay does not change drug potency or compress the biological corridor; it shifts patients and cities rightward along acquisition time until the route-specific integration boundary is crossed.</w:t>
      </w:r>
    </w:p>
    <w:p w14:paraId="188BF2C6" w14:textId="77777777" w:rsidR="00C0354B" w:rsidRDefault="00C0354B" w:rsidP="00C0354B">
      <w:pPr>
        <w:pStyle w:val="NormalWeb"/>
        <w:rPr>
          <w:color w:val="000000"/>
        </w:rPr>
      </w:pPr>
      <w:r>
        <w:rPr>
          <w:color w:val="000000"/>
        </w:rPr>
        <w:t>This work is well suited to</w:t>
      </w:r>
      <w:r>
        <w:rPr>
          <w:rStyle w:val="apple-converted-space"/>
          <w:color w:val="000000"/>
        </w:rPr>
        <w:t> </w:t>
      </w:r>
      <w:r>
        <w:rPr>
          <w:rStyle w:val="Emphasis"/>
          <w:color w:val="000000"/>
        </w:rPr>
        <w:t>PLOS Computational Biology</w:t>
      </w:r>
      <w:r>
        <w:rPr>
          <w:rStyle w:val="apple-converted-space"/>
          <w:color w:val="000000"/>
        </w:rPr>
        <w:t> </w:t>
      </w:r>
      <w:r>
        <w:rPr>
          <w:color w:val="000000"/>
        </w:rPr>
        <w:t xml:space="preserve">because it bridges mechanistic within-host viral dynamics, stochastic first-passage modeling, pharmacokinetic/pharmacodynamic simulation, and population-scale structural epidemiology. The manuscript’s central claim is not a clinical guideline recommendation but a computational biology result: the biologically available </w:t>
      </w:r>
      <w:r>
        <w:rPr>
          <w:color w:val="000000"/>
        </w:rPr>
        <w:lastRenderedPageBreak/>
        <w:t>interval for post-exposure prevention is an emergent property of viral integration kinetics, route-specific inoculum structure, drug-onset kinetics, and access timing.</w:t>
      </w:r>
    </w:p>
    <w:p w14:paraId="4BED66C7" w14:textId="77777777" w:rsidR="00C0354B" w:rsidRDefault="00C0354B" w:rsidP="00C0354B">
      <w:pPr>
        <w:pStyle w:val="NormalWeb"/>
        <w:rPr>
          <w:color w:val="000000"/>
        </w:rPr>
      </w:pPr>
      <w:r>
        <w:rPr>
          <w:color w:val="000000"/>
        </w:rPr>
        <w:t>The mathematical core of an earlier version was previously submitted to</w:t>
      </w:r>
      <w:r>
        <w:rPr>
          <w:rStyle w:val="apple-converted-space"/>
          <w:color w:val="000000"/>
        </w:rPr>
        <w:t> </w:t>
      </w:r>
      <w:proofErr w:type="gramStart"/>
      <w:r>
        <w:rPr>
          <w:rStyle w:val="Emphasis"/>
          <w:color w:val="000000"/>
        </w:rPr>
        <w:t>Science</w:t>
      </w:r>
      <w:proofErr w:type="gramEnd"/>
      <w:r>
        <w:rPr>
          <w:rStyle w:val="apple-converted-space"/>
          <w:color w:val="000000"/>
        </w:rPr>
        <w:t> </w:t>
      </w:r>
      <w:r>
        <w:rPr>
          <w:color w:val="000000"/>
        </w:rPr>
        <w:t>and transferred editorially to</w:t>
      </w:r>
      <w:r>
        <w:rPr>
          <w:rStyle w:val="apple-converted-space"/>
          <w:color w:val="000000"/>
        </w:rPr>
        <w:t> </w:t>
      </w:r>
      <w:r>
        <w:rPr>
          <w:rStyle w:val="Emphasis"/>
          <w:color w:val="000000"/>
        </w:rPr>
        <w:t>Science Advances</w:t>
      </w:r>
      <w:r>
        <w:rPr>
          <w:color w:val="000000"/>
        </w:rPr>
        <w:t>. Following peer review and appeal,</w:t>
      </w:r>
      <w:r>
        <w:rPr>
          <w:rStyle w:val="apple-converted-space"/>
          <w:color w:val="000000"/>
        </w:rPr>
        <w:t> </w:t>
      </w:r>
      <w:r>
        <w:rPr>
          <w:rStyle w:val="Emphasis"/>
          <w:color w:val="000000"/>
        </w:rPr>
        <w:t>Science Advances</w:t>
      </w:r>
      <w:r>
        <w:rPr>
          <w:rStyle w:val="apple-converted-space"/>
          <w:color w:val="000000"/>
        </w:rPr>
        <w:t> </w:t>
      </w:r>
      <w:r>
        <w:rPr>
          <w:color w:val="000000"/>
        </w:rPr>
        <w:t>declined the manuscript as outside journal scope. The present submission has been substantially revised for a computational biology audience, including the multiscale stochastic-deterministic implementation, PK-driven efficacy framework, pharmacy-access corridor analysis, expanded reproducibility documentation, and updated supplementary proofs and parameter tables.</w:t>
      </w:r>
    </w:p>
    <w:p w14:paraId="6D8CB9C1" w14:textId="77777777" w:rsidR="00C0354B" w:rsidRDefault="00C0354B" w:rsidP="00C0354B">
      <w:pPr>
        <w:pStyle w:val="NormalWeb"/>
        <w:rPr>
          <w:color w:val="000000"/>
        </w:rPr>
      </w:pPr>
      <w:r>
        <w:rPr>
          <w:color w:val="000000"/>
        </w:rPr>
        <w:t>I disclose prior employment with Gilead Sciences, which ended in October–November 2024, and complete divestiture of Gilead stock in December 2024. These events predate the initiation of this manuscript. Gilead Sciences had no role in study conception, design, analysis, interpretation, writing, or the decision to submit. Because of this prior employment, I respectfully request that the manuscript not be assigned to reviewers currently affiliated with Gilead Sciences.</w:t>
      </w:r>
    </w:p>
    <w:p w14:paraId="4ABF1CAB" w14:textId="77777777" w:rsidR="00C0354B" w:rsidRDefault="00C0354B" w:rsidP="00C0354B">
      <w:pPr>
        <w:pStyle w:val="NormalWeb"/>
        <w:rPr>
          <w:color w:val="000000"/>
        </w:rPr>
      </w:pPr>
      <w:r>
        <w:rPr>
          <w:color w:val="000000"/>
        </w:rPr>
        <w:t xml:space="preserve">The manuscript is not under consideration elsewhere. All code, simulation outputs, processed data, and numerical-claim verification files are archived at </w:t>
      </w:r>
      <w:proofErr w:type="spellStart"/>
      <w:r>
        <w:rPr>
          <w:color w:val="000000"/>
        </w:rPr>
        <w:t>Zenodo</w:t>
      </w:r>
      <w:proofErr w:type="spellEnd"/>
      <w:r>
        <w:rPr>
          <w:color w:val="000000"/>
        </w:rPr>
        <w:t xml:space="preserve"> under v4.0.0:</w:t>
      </w:r>
      <w:r>
        <w:rPr>
          <w:rStyle w:val="apple-converted-space"/>
          <w:color w:val="000000"/>
        </w:rPr>
        <w:t> </w:t>
      </w:r>
      <w:hyperlink r:id="rId5" w:tgtFrame="_new" w:history="1">
        <w:r>
          <w:rPr>
            <w:rStyle w:val="Hyperlink"/>
            <w:b/>
            <w:bCs/>
          </w:rPr>
          <w:t>https://doi.org/10.5281/zenodo.20559022</w:t>
        </w:r>
      </w:hyperlink>
      <w:r>
        <w:rPr>
          <w:color w:val="000000"/>
        </w:rPr>
        <w:t>, with the corresponding GitHub release at</w:t>
      </w:r>
      <w:r>
        <w:rPr>
          <w:rStyle w:val="apple-converted-space"/>
          <w:color w:val="000000"/>
        </w:rPr>
        <w:t> </w:t>
      </w:r>
      <w:hyperlink r:id="rId6" w:tgtFrame="_new" w:history="1">
        <w:r>
          <w:rPr>
            <w:rStyle w:val="Hyperlink"/>
            <w:b/>
            <w:bCs/>
          </w:rPr>
          <w:t>https://github.com/Nyx-Dynamics/Prevention-Theorem</w:t>
        </w:r>
      </w:hyperlink>
      <w:r>
        <w:rPr>
          <w:color w:val="000000"/>
        </w:rPr>
        <w:t>. Reproduction is documented through the repository’s</w:t>
      </w:r>
      <w:r>
        <w:rPr>
          <w:rStyle w:val="apple-converted-space"/>
          <w:color w:val="000000"/>
        </w:rPr>
        <w:t> </w:t>
      </w:r>
      <w:r>
        <w:rPr>
          <w:rStyle w:val="HTMLCode"/>
          <w:color w:val="000000"/>
        </w:rPr>
        <w:t>reproduce_all_v4.py</w:t>
      </w:r>
      <w:r>
        <w:rPr>
          <w:rStyle w:val="apple-converted-space"/>
          <w:color w:val="000000"/>
        </w:rPr>
        <w:t> </w:t>
      </w:r>
      <w:r>
        <w:rPr>
          <w:color w:val="000000"/>
        </w:rPr>
        <w:t>pipeline.</w:t>
      </w:r>
    </w:p>
    <w:p w14:paraId="20BBBA31" w14:textId="77777777" w:rsidR="00C0354B" w:rsidRDefault="00C0354B" w:rsidP="00C0354B">
      <w:pPr>
        <w:pStyle w:val="NormalWeb"/>
        <w:rPr>
          <w:color w:val="000000"/>
        </w:rPr>
      </w:pPr>
      <w:r>
        <w:rPr>
          <w:color w:val="000000"/>
        </w:rPr>
        <w:t>Thank you for considering this manuscript for</w:t>
      </w:r>
      <w:r>
        <w:rPr>
          <w:rStyle w:val="apple-converted-space"/>
          <w:color w:val="000000"/>
        </w:rPr>
        <w:t> </w:t>
      </w:r>
      <w:r>
        <w:rPr>
          <w:rStyle w:val="Emphasis"/>
          <w:color w:val="000000"/>
        </w:rPr>
        <w:t>PLOS Computational Biology</w:t>
      </w:r>
      <w:r>
        <w:rPr>
          <w:color w:val="000000"/>
        </w:rPr>
        <w:t>.</w:t>
      </w:r>
    </w:p>
    <w:p w14:paraId="5CE2BD1F" w14:textId="77777777" w:rsidR="00C0354B" w:rsidRDefault="00C0354B" w:rsidP="00C0354B">
      <w:pPr>
        <w:pStyle w:val="NormalWeb"/>
        <w:rPr>
          <w:color w:val="000000"/>
        </w:rPr>
      </w:pPr>
      <w:r>
        <w:rPr>
          <w:color w:val="000000"/>
        </w:rPr>
        <w:t>Sincerely,</w:t>
      </w:r>
    </w:p>
    <w:p w14:paraId="017E2781" w14:textId="77777777" w:rsidR="00C0354B" w:rsidRDefault="00C0354B" w:rsidP="00C0354B">
      <w:pPr>
        <w:pStyle w:val="NormalWeb"/>
        <w:rPr>
          <w:color w:val="000000"/>
        </w:rPr>
      </w:pPr>
      <w:r>
        <w:rPr>
          <w:color w:val="000000"/>
        </w:rPr>
        <w:t>A.C. Demidont, DO, AAHIVS</w:t>
      </w:r>
      <w:r>
        <w:rPr>
          <w:color w:val="000000"/>
        </w:rPr>
        <w:br/>
        <w:t>Sole Founder, Nyx Dynamics LLC</w:t>
      </w:r>
      <w:r>
        <w:rPr>
          <w:color w:val="000000"/>
        </w:rPr>
        <w:br/>
        <w:t>ORCID: 0000-0002-9216-8569</w:t>
      </w:r>
    </w:p>
    <w:p w14:paraId="75E26E24" w14:textId="0CA4B87B" w:rsidR="002231A2" w:rsidRPr="00C0354B" w:rsidRDefault="002231A2" w:rsidP="00C0354B"/>
    <w:sectPr w:rsidR="002231A2" w:rsidRPr="00C0354B">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2725A2F"/>
    <w:multiLevelType w:val="hybridMultilevel"/>
    <w:tmpl w:val="3050D6AA"/>
    <w:lvl w:ilvl="0" w:tplc="DC402BEA">
      <w:start w:val="1"/>
      <w:numFmt w:val="bullet"/>
      <w:lvlText w:val="●"/>
      <w:lvlJc w:val="left"/>
      <w:pPr>
        <w:ind w:left="720" w:hanging="360"/>
      </w:pPr>
    </w:lvl>
    <w:lvl w:ilvl="1" w:tplc="30B03AFC">
      <w:start w:val="1"/>
      <w:numFmt w:val="bullet"/>
      <w:lvlText w:val="○"/>
      <w:lvlJc w:val="left"/>
      <w:pPr>
        <w:ind w:left="1440" w:hanging="360"/>
      </w:pPr>
    </w:lvl>
    <w:lvl w:ilvl="2" w:tplc="243C8A36">
      <w:start w:val="1"/>
      <w:numFmt w:val="bullet"/>
      <w:lvlText w:val="■"/>
      <w:lvlJc w:val="left"/>
      <w:pPr>
        <w:ind w:left="2160" w:hanging="360"/>
      </w:pPr>
    </w:lvl>
    <w:lvl w:ilvl="3" w:tplc="DC2C30FC">
      <w:start w:val="1"/>
      <w:numFmt w:val="bullet"/>
      <w:lvlText w:val="●"/>
      <w:lvlJc w:val="left"/>
      <w:pPr>
        <w:ind w:left="2880" w:hanging="360"/>
      </w:pPr>
    </w:lvl>
    <w:lvl w:ilvl="4" w:tplc="89F4F268">
      <w:start w:val="1"/>
      <w:numFmt w:val="bullet"/>
      <w:lvlText w:val="○"/>
      <w:lvlJc w:val="left"/>
      <w:pPr>
        <w:ind w:left="3600" w:hanging="360"/>
      </w:pPr>
    </w:lvl>
    <w:lvl w:ilvl="5" w:tplc="40F2D16A">
      <w:start w:val="1"/>
      <w:numFmt w:val="bullet"/>
      <w:lvlText w:val="■"/>
      <w:lvlJc w:val="left"/>
      <w:pPr>
        <w:ind w:left="4320" w:hanging="360"/>
      </w:pPr>
    </w:lvl>
    <w:lvl w:ilvl="6" w:tplc="81E49AD6">
      <w:start w:val="1"/>
      <w:numFmt w:val="bullet"/>
      <w:lvlText w:val="●"/>
      <w:lvlJc w:val="left"/>
      <w:pPr>
        <w:ind w:left="5040" w:hanging="360"/>
      </w:pPr>
    </w:lvl>
    <w:lvl w:ilvl="7" w:tplc="747A02E4">
      <w:start w:val="1"/>
      <w:numFmt w:val="bullet"/>
      <w:lvlText w:val="●"/>
      <w:lvlJc w:val="left"/>
      <w:pPr>
        <w:ind w:left="5760" w:hanging="360"/>
      </w:pPr>
    </w:lvl>
    <w:lvl w:ilvl="8" w:tplc="6590A8F6">
      <w:start w:val="1"/>
      <w:numFmt w:val="bullet"/>
      <w:lvlText w:val="●"/>
      <w:lvlJc w:val="left"/>
      <w:pPr>
        <w:ind w:left="6480" w:hanging="360"/>
      </w:pPr>
    </w:lvl>
  </w:abstractNum>
  <w:num w:numId="1" w16cid:durableId="29237225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31A2"/>
    <w:rsid w:val="002231A2"/>
    <w:rsid w:val="00351864"/>
    <w:rsid w:val="00C0354B"/>
    <w:rsid w:val="00E360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6AA6699"/>
  <w15:docId w15:val="{B9ABAFFC-4D38-3F4C-834E-CA9FA6DBD1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C0354B"/>
    <w:rPr>
      <w:color w:val="605E5C"/>
      <w:shd w:val="clear" w:color="auto" w:fill="E1DFDD"/>
    </w:rPr>
  </w:style>
  <w:style w:type="paragraph" w:styleId="NormalWeb">
    <w:name w:val="Normal (Web)"/>
    <w:basedOn w:val="Normal"/>
    <w:uiPriority w:val="99"/>
    <w:semiHidden/>
    <w:unhideWhenUsed/>
    <w:rsid w:val="00C0354B"/>
    <w:pPr>
      <w:spacing w:before="100" w:beforeAutospacing="1" w:after="100" w:afterAutospacing="1"/>
    </w:pPr>
    <w:rPr>
      <w:rFonts w:ascii="Times New Roman" w:eastAsia="Times New Roman" w:hAnsi="Times New Roman" w:cs="Times New Roman"/>
      <w:sz w:val="24"/>
      <w:szCs w:val="24"/>
    </w:rPr>
  </w:style>
  <w:style w:type="character" w:styleId="Emphasis">
    <w:name w:val="Emphasis"/>
    <w:basedOn w:val="DefaultParagraphFont"/>
    <w:uiPriority w:val="20"/>
    <w:qFormat/>
    <w:rsid w:val="00C0354B"/>
    <w:rPr>
      <w:i/>
      <w:iCs/>
    </w:rPr>
  </w:style>
  <w:style w:type="character" w:customStyle="1" w:styleId="apple-converted-space">
    <w:name w:val="apple-converted-space"/>
    <w:basedOn w:val="DefaultParagraphFont"/>
    <w:rsid w:val="00C0354B"/>
  </w:style>
  <w:style w:type="character" w:styleId="Strong">
    <w:name w:val="Strong"/>
    <w:basedOn w:val="DefaultParagraphFont"/>
    <w:uiPriority w:val="22"/>
    <w:qFormat/>
    <w:rsid w:val="00C0354B"/>
    <w:rPr>
      <w:b/>
      <w:bCs/>
    </w:rPr>
  </w:style>
  <w:style w:type="character" w:styleId="HTMLCode">
    <w:name w:val="HTML Code"/>
    <w:basedOn w:val="DefaultParagraphFont"/>
    <w:uiPriority w:val="99"/>
    <w:semiHidden/>
    <w:unhideWhenUsed/>
    <w:rsid w:val="00C0354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Nyx-Dynamics/Prevention-Theorem" TargetMode="External"/><Relationship Id="rId5" Type="http://schemas.openxmlformats.org/officeDocument/2006/relationships/hyperlink" Target="https://doi.org/10.5281/zenodo.20559022"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644</Words>
  <Characters>4038</Characters>
  <Application>Microsoft Office Word</Application>
  <DocSecurity>0</DocSecurity>
  <Lines>91</Lines>
  <Paragraphs>46</Paragraphs>
  <ScaleCrop>false</ScaleCrop>
  <Company/>
  <LinksUpToDate>false</LinksUpToDate>
  <CharactersWithSpaces>4636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Adrian Charles Demidont</cp:lastModifiedBy>
  <cp:revision>3</cp:revision>
  <dcterms:created xsi:type="dcterms:W3CDTF">2026-06-05T16:34:00Z</dcterms:created>
  <dcterms:modified xsi:type="dcterms:W3CDTF">2026-06-06T00:29:00Z</dcterms:modified>
</cp:coreProperties>
</file>