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MANUSCRIPT SECTION — CORRECTED &amp; VERIFIED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City-Stratified PEP Efficacy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Errors corrected, all claims verified against source CSV data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 Demidont, DO  |  Nyx Dynamics LLC  |  March 2026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I — DATA AUDIT SUMMARY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Four errors were identified in the draft manuscript text. Two are substantive (citation and factual); two are minor (count/omission). All other specific numerical claims checked against source CSVs were confirmed accurate within acceptable rounding. Three new findings from the mucosal/parenteral/integrated analysis files are flagged for potential inclusion.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in manuscript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Efficacy range: 78.8% – 98.3%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78.84% (Hartford) – 98.34% (Milwaukee)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 (rounding)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— acceptable rounding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Hartford delay = 24.4h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24.4h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Hartford eff = 78.8%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78.84%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Hartford late dx = 37.2%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37.2%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Hartford IDU = 23.4%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23.42% — rounds to 23.4%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Hartford 24h counterfactual = 79.5%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79.54%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Hartford CI 95% lower = 54.13%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Data: 54.54%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 MINOR 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to 54.5% (or 54.54%)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IDU = 22.2%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22.1527% → rounds to 22.2%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 (rounding)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VL log10 = 3.02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3.017 → rounds to 3.02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 (rounding)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VS = 52.1%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52.1%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delay = 13.3h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13.3h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eff = 91.3% (72.5–97.2%)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91.33% (72.48–97.22%)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 (rounding)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linkage-to-care gap = 37%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Linkage = 63%; gap vs 90% ref = 27%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 FACTUAL 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to: '27-percentage-point gap vs 90% reference' (or '63% linkage vs. 90% reference threshold')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moderate-barrier cities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cities: Hartford (high) + 7 moderate incl. Houston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 COUNT 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Either: '7 moderate-barrier + 1 high-barrier' or '8 cities with delay ≥8h'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cities list (Hartford, SanJuan, PalmBeachCO, Columbia, NewHaven, Charleston, Raleigh)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Houston (8.6h) is also moderate_barrier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 OMISSION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Houston to list, OR qualify as 'moderate or high barrier'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Counterfactual range 76.2%–82.1%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SanJuan 76.22% (min), BatonRouge 82.05% (max)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 (rounding)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 CF 76.8%, Phoenix CF 76.7%, SanJuan CF 76.2%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76.83%, 76.72%, 76.22% 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 (rounding)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33/34 cities: actual &gt; 24h counterfactual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— only Hartford is worse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Correct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 log10=4.5 'consistent with Perelson 1996'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Perelson 1996: VL ~10^5.3 in acute/treated pts; log10=4.5 is NHBS/NHAS PWID chronic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⚠ CITATION ERROR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Perelson as source for VL=4.5; cite CDC NHBS or NHAS surveillance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Stochastic PWID untreated at 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65.46% (47.06–83.52%)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Confirmed from stochastic CSV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Parenteral T_int vs mucosal T_int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Parenteral mean 10.5h vs mucosal mean 37.0h; 3.52x compression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data not in manuscript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Consider adding to Methods/Results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P(parenteral T_int &lt; 24h) =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all 100 parenteral simulations irreversible at 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finding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Powerful addition to Results</w:t>
            </w:r>
          </w:p>
        </w:tc>
      </w:tr>
    </w:tbl>
    <w:p>
      <w:pPr>
        <w:spacing w:before="300" w:after="100"/>
      </w:pPr>
    </w:p>
    <w:p>
      <w:pPr>
        <w:pBdr>
          <w:bottom w:val="single" w:color="AAAAAA" w:sz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II — ERRORS IN DETAIL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1 (CRITICAL): Citation for VL log₁₀ = 4.5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Location in manuscript: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Methods section, City-Level VL Distribution Derivation, first paragraph.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Incorrect text: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"...consistent with Perelson et al.'s characterisation of steady-state viral burden in chronic untreated infection, in which plasma virion production was estimated at approximately 10.3 × 10⁹ per day with a virion half-life of 0.24 days.¹"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This sentence conflates two separate things. The Perelson 1996 parameters (virion production rate 10.3×10⁹/day, virion t½ = 0.24 days) are kinetic rate constants derived from HIV-positive patients on short-course monotherapy who had mean VL of approximately 10^5.3 copies/mL — not chronic untreated PWID. Using Perelson 1996 to justify log₁₀ = 4.5 is incorrect.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Perelson 1996 is correctly cited later in the manuscript for within-host kinetics (virion half-life, generation time). It should NOT be used as the source for the VL=4.5 prior.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Correct source: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The log-normal VL prior (mean log₁₀ = 4.5, SD = 1.1) for unsuppressed chronic HIV infection in PWID is derived from CDC NHBS (National HIV Behavioral Surveillance) and NHAS (National HIV/AIDS Strategy) surveillance data, consistent with published estimates of chronic untreated HIV-1 RNA levels in people who inject drugs. The sentence should cite NHBS/NHAS surveillance reports, not Perelson 1996.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CORRECTION: The phrase 'consistent with Perelson et al.'s characterisation of steady-state viral burden' must be removed or replaced. Cite CDC NHBS surveillance data for log₁₀ = 4.5.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2 (FACTUAL): San Juan linkage-to-care gap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Location: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Results section, first paragraph about San Juan.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Incorrect text: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"...a 13.3-hour structural delay driven primarily by a 37% linkage-to-care gap (63% vs. 90% reference)"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The numbers are internally inconsistent. If linkage = 63% and the reference is 90%, the gap is 90 − 63 = 27 percentage points, not 37. The figure 37% appears to be a confusion with the non-linkage rate (100 − 63 = 37%), which is a different quantity.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Verified from data: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city_pep_efficacy_results.csv: SanJuan linkage_to_care_pct = 63.0%; city_vl_profiles.csv: linkage_component_h = 8.1h (correct for a 27pp gap × 0.3 h/pp).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CORRECTION: Change '37% linkage-to-care gap (63% vs. 90% reference)' to '27-percentage-point linkage gap (63% vs. 90% reference threshold)'. The 37% figure is the non-linkage fraction, which is a different statistic.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3 (MINOR): Count/list of moderate-barrier cities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Location: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Results section, third sentence. 'Seven cities exhibited moderate barriers...'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The data show 8 cities with structural delay ≥ 8h: Hartford (24.4h, high_barrier) + 7 moderate_barrier cities including Houston (8.6h). Houston was omitted from the list. The categorisation system uses three tiers: low_barrier (&lt;8h, n=26), moderate_barrier (8–30h, n=7), and high_barrier (&gt;30h, n=1). The manuscript incorrectly says '7 cities exhibited moderate barriers' when it means '7 moderate + 1 high.'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Actual moderate_barrier cities (n=7):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PalmBeachCO (13.5h), SanJuan (13.3h), Columbia (11.7h), NewHaven (11.5h), Charleston (9.9h), Raleigh (9.7h), Houston (8.6h).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CORRECTION: Option A: Change '7 cities exhibited moderate barriers' to '7 cities exhibited moderate structural barriers (8–30h delay), with Hartford in a distinct high-barrier category (24.4h):' then list all 7 moderate cities correctly including Houston. Option B: '8 cities exhibited elevated structural barriers (≥8h delay), including one high-barrier city (Hartford, 24.4h) and seven moderate-barrier cities...' listing all 7.</w:t>
      </w:r>
    </w:p>
    <w:p>
      <w:pP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4 (MINOR): Hartford 95% CI lower bound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Location: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Results section, Hartford paragraph.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Manuscript states: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54.13%.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Data value: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city_pep_efficacy_results.csv: pep_ci95_lower_pct = 54.54%.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CORRECTION: Change '54.13%' to '54.5%' (or '54.54%' if full precision is used elsewhere).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III — NEW FINDINGS FROM ROUTE COMPARISON DATA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uploaded mucosal_analysis_results.csv and parenteral_analysis_results.csv contain 100 matched exposure simulations (same exposure_id, different route). These are not currently in the manuscript and represent a significant new analytical result.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Finding A: Route-Specific Window Compression (3.52×)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Across 100 matched exposures with identical source VL draws, parenteral T_int (mean = 10.5h, median = 9.2h) was 3.52× shorter than mucosal T_int (mean = 37.0h, median = 33.6h). This is the empirical window compression ratio.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Critically: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100% of parenteral exposures had T_int &lt; 24h. This means that for any PWID experiencing a parenteral exposure, the conventional 24-hour PEP initiation window is already past the point of no return in every single simulated case. By contrast, 26% of mucosal exposures had T_int &lt; 24h.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📝 Suggested Results text: 'Under parenteral exposure kinetics, median time to proviral integration was 9.2h (IQR [X–X]h), compared to 33.6h (IQR [X–X]h) under mucosal exposure kinetics — a 3.52-fold compression. In all 100 simulated parenteral exposures, integration was complete before the conventional 24-hour PEP initiation threshold, indicating that for PWID parenteral exposures, the standard 72-hour window is not merely compressed — it is effectively absent by the time the clinical 24-hour target is reached.'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Finding B: Integrated Population-Level PEP Success = 43.3%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integrated_analysis_results.csv reports a population-level pep_success_expectation of 0.433 (constant across all 100 simulations, reflecting a Monte Carlo population mean).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is the single most policy-relevant number in the dataset: after integrating transmission probability, source VL distribution, and T_int distribution, the expected PEP success rate for a randomly sampled PWID parenteral exposure under current structural conditions is 43.3%.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F5C99"/>
          <w:sz w:val="20"/>
          <w:szCs w:val="20"/>
        </w:rPr>
        <w:t xml:space="preserve">📝 Verify that 43.3% is calculated using the city-specific structural delay (not 0h delay). If it is, this is the headline result for the abstract.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Finding C: Parenteral pep_success_expectation = 5% Uniform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100 parenteral exposures have pep_success_expectation = 0.05. This is almost certainly a model floor/sentinel value rather than a calculated result, since every T_int is &lt;24h and 24h-delayed PEP would be post-integration by definition.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This needs clarification: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0.05 the model output for 'PEP initiated at 24h for an exposure that reached T_int by hour X &lt; 24'? If so, it correctly represents near-zero efficacy for the parenteral route under any realistic structural delay. Confirm in code.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IV — CORRECTED MANUSCRIPT TEXT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Below is the full corrected text with all four errors fixed. Changed passages are marked </w:t>
      </w: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[CORRECTED]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inline for easy identification.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METHODS — City-Stratified Analysis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City-Level VL Distribution Derivation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 ground stochastic model parameters in empirical surveillance data, we extracted city-level variables from AIDSVu downloadable datasets for 34 high-burden US metropolitan areas (2023 data). The core VL distribution parameter derivation employed a two-component mixture model. The unsuppressed HIV VL component was parameterised as log-normal with mean log₁₀ = 4.5 and SD = 1.1, consistent with estimates of steady-state viral burden in chronic untreated HIV infection derived from CDC National HIV Behavioral Surveillance (NHBS) and National HIV/AIDS Strategy (NHAS) surveillance data.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[CORRECTED: Removed Perelson 1996 as source for VL = 4.5. Perelson 1996 is cited separately below for within-host kinetic parameters only. The VL prior of log₁₀ = 4.5 should cite CDC NHBS/NHAS surveillance, e.g. CDC. HIV Surveillance Report, 2022; or Campsmith ML et al. or appropriate NHBS PWID VL report.]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suppressed component was parameterised as log-normal with mean log₁₀ = 1.5 and SD = 0.4, reflecting virological suppression below the limit of detection in patients receiving effective ART. For each city, the mixture mean and variance were computed using the law of total variance: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μ_mix = f_s · μ_supp + (1 − f_s) · μ_unsupp</w:t>
      </w:r>
    </w:p>
    <w:p>
      <w:pPr>
        <w:spacing w:before="0" w:after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σ²_mix = f_s·(σ²_s + μ²_s) + (1−f_s)·(σ²_u + μ²_u) − μ²_mix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where f_s is the city-specific viral suppression fraction from AIDSVu. An IDU-specific adjustment reduced f_s by 0.12% per percentage point of IDU prevalence (capped at 12%), reflecting documented suppression gaps in this population from NHBS/NHAS surveillance data.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Structural Delay Derivation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City-specific structural delay was estimated from two AIDSVu variables: late diagnosis percentage (proxy for healthcare avoidance, reflecting the criminalisation-stigma barrier) and linkage-to-care percentage (proxy for infrastructure navigation barrier). Total structural delay was computed as: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Δt_structural = β₁·(LateDx% − 10%) + β₂·max(90% − Linkage%, 0) + Δt_SDOH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where β₁ = 1.2 h/% and β₂ = 0.3 h/%, calibrated such that the median city (late dx ≈ 20%, linkage ≈ 79%) yields approximately 6 hours, consistent with empirical PWID healthcare access data. An SDOH modifier (0–6 hours) was applied based on Gini coefficient and poverty percentage where available.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Counterfactual Analysis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 isolate the independent contribution of structural delay to PEP efficacy loss, we ran a parallel simulation in which all cities were assigned a uniform 24-hour delay. The difference between observed and counterfactual efficacy quantifies the marginal efficacy attributable to structural barriers above and beyond the biological constraint imposed by parenteral exposure kinetics.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RESULTS — City-Stratified PEP Efficacy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Across 34 high-burden metropolitan areas, expected PEP efficacy at the city-specific structural delay ranged from 78.8% (Hartford, CT; 24.4h delay) to 98.3% (Milwaukee, WI; 1.9h delay).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[CORRECTED — next sentence]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Seven cities exhibited moderate structural barriers (delay 8–30h): PalmBeachCO, SanJuan, Columbia SC, NewHaven, Charleston SC, Raleigh NC, and Houston TX. Hartford, CT was classified in a distinct high-barrier category (delay &gt; 20h). The low-barrier category comprised 26 cities with structural delays below 8 hours.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[NOTE: Original text said '7 cities with moderate barriers' and listed only 6 moderate cities (omitting Houston). Corrected to: 7 moderate + 1 high = 8 cities with delay ≥8h. Hartford is not moderate_barrier in the data; it is high_barrier (&gt;20h).]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highest community viral load burden was observed in San Juan, Puerto Rico (community VL mean log₁₀ = 3.02; viral suppression 52.1%; IDU prevalence 22.2%), reflecting the compound effect of low suppression and high IDU concentration. Combined with a 13.3-hour structural delay driven primarily by a 27-percentage-point linkage gap (63% vs. 90% reference threshold), San Juan's expected PEP efficacy was 91.3% (95% CI: 72.5%–97.2%) — the second-lowest in the cohort.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[CORRECTED: '37% linkage-to-care gap' → '27-percentage-point linkage gap'. The linkage rate is 63%; the gap vs. the 90% reference is 27pp, not 37pp. The 37% figure was the non-linkage fraction, a different statistic.]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Hartford exhibited the longest structural delay (24.4h), attributable to the highest late-diagnosis percentage in the dataset (37.2%), consistent with its 23.4% IDU prevalence and documented criminalisation-related healthcare avoidance. At this delay, expected PEP efficacy (78.8%, 95% CI: 54.5%–89.2%) approximated the level observed in the 24-hour counterfactual (79.5%), confirming that structural barriers had already consumed the majority of the biological PEP window.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[CORRECTED: CI lower bound changed from 54.13% to 54.5% (source data: 54.54%).]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Counterfactual Analysis: Structural Delay as Efficacy Penalty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When all cities were modelled at a uniform 24-hour delay, the expected efficacy range narrowed to 76.2%–82.1%, with lower values in cities with higher community VL burden (Jackson, MS: 76.8%; Phoenix, AZ: 76.7%; San Juan, PR: 76.2%). This VL-mediated disparity persisted even after equalising structural delays, confirming that community VL independently compresses the biological PEP window — consistent with Perelson et al.'s within-host kinetic model,¹ in which higher viral inoculum accelerates the RT → nuclear import → proviral integration cascade.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 33 of 34 cities, actual PEP efficacy exceeded the 24-hour counterfactual, because structural delays are currently shorter than 24 hours. This finding inverts the conventional framing: the clinically cited 72-hour window is not a target — it is a hard biological ceiling for mucosal exposure. For parenteral exposure in PWID, the effective window is substantially compressed; parenteral integration times are on average 3.52-fold shorter than mucosal integration times across matched exposure simulations. Under parenteral exposure kinetics alone, the conventional 24-hour initiation window is post-integration in 100% of simulated cases, meaning that any structural delay above a few hours begins to meaningfully erode — and ultimately eliminate — preventive efficacy.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DISCUSSION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city-stratified analysis extends the stochastic PEP model from a theoretical framework to an empirically parameterised, policy-actionable instrument. The data reveal a consistent pattern: cities with high IDU prevalence (San Juan 22%, Hartford 23%, New Haven 22%, Bridgeport 17%) exhibit lower viral suppression, worse linkage to care, and longer structural delays — a cascade of compounding disadvantage that narrows the PEP window from multiple directions simultaneously.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Perelson 1996 parameters ground the biological plausibility of this analysis with respect to within-host kinetics.¹ A virion half-life of 0.24 days (~6 hours) implies that at high VL (&gt;10⁵ copies/mL), sufficient inoculum for productive infection is established within hours of parenteral exposure. The 2.6-day viral generation time defines the outer boundary of pre-integration intervention; structural delays approaching this threshold render PEP mechanistically futile regardless of drug efficacy.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REFERENCES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Perelson AS, Neumann AU, Markowitz M, Leonard JM, Ho DD. HIV-1 dynamics in vivo: virion clearance rate, infected cell life-span, and viral generation time. Science. 1996;271(5255):1582–6. doi:10.1126/science.271.5255.1582. PMID: 8599114.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[CITATION NEEDED] CDC. National HIV Behavioral Surveillance (NHBS): People Who Inject Drugs — Viral Load Data [appropriate year and report URL]. [This citation is required to replace the erroneous Perelson 1996 attribution for the log₁₀ = 4.5 prior in the Methods section.]</w:t>
      </w:r>
    </w:p>
    <w:p>
      <w:pPr>
        <w:pBdr>
          <w:bottom w:val="single" w:color="AAAAAA" w:sz="4"/>
        </w:pBd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V — PRE-SUBMISSION CHECKLIST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Before resubmission, confirm the following items are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Citation audit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Perelson 1996 as source for VL=4.5 in Methods. Find and cite the correct NHBS/NHAS surveillance reference.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Linkage gap figure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37% → 27 percentage points in SanJuan paragraph.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 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'7 cities' → 7 moderate + 1 high, and add Houston to the 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Hartford CI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54.13% → 54.5% (or 54.54%).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 comparison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adding parenteral vs. mucosal 3.52× compression finding.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 but strong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43.3% headline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whether integrated pep_success=0.433 uses structural delay. If yes, consider for abstract.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Optional but impactful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Parenteral 0.05 floor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in code whether pep_success=0.05 for parenteral exposures is a calculated result or a floor sentinel.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 accuracy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aidsvu_city_profiles.py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the PERELSON 1996 GROUNDING NOTE print block (lines 604–620) to correctly attribute log₁₀=4.5 to NHBS/NHAS, not Perelson.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hygiene</w:t>
            </w:r>
          </w:p>
        </w:tc>
      </w:tr>
    </w:tbl>
    <w:p>
      <w:pPr>
        <w:spacing w:before="36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2026-03-10T19:52:07.822Z</dcterms:created>
  <dcterms:modified xsi:type="dcterms:W3CDTF">2026-03-10T19:52:07.822Z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