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2"/>
          <w:szCs w:val="32"/>
        </w:rPr>
        <w:t xml:space="preserve">Manuscript Text — PEP Stochastic Analysis with City-Stratified Extension</w:t>
      </w:r>
    </w:p>
    <w:p>
      <w:pPr>
        <w:spacing w:after="80"/>
        <w:jc w:val="center"/>
      </w:pPr>
      <w:r>
        <w:rPr>
          <w:rFonts w:ascii="Arial" w:cs="Arial" w:eastAsia="Arial" w:hAnsi="Arial"/>
          <w:i/>
          <w:iCs/>
          <w:sz w:val="22"/>
          <w:szCs w:val="22"/>
        </w:rPr>
        <w:t xml:space="preserve">Stochastic Modelling of HIV Post-Exposure Prophylaxis Window Compression: Route-Differential Kinetics, Source Viral Load Uncertainty, and Structural Determinants of Access</w:t>
      </w:r>
    </w:p>
    <w:p>
      <w:pPr>
        <w:spacing w:after="480"/>
        <w:jc w:val="center"/>
      </w:pPr>
      <w:r>
        <w:rPr>
          <w:rFonts w:ascii="Arial" w:cs="Arial" w:eastAsia="Arial" w:hAnsi="Arial"/>
          <w:color w:val="666666"/>
          <w:sz w:val="20"/>
          <w:szCs w:val="20"/>
        </w:rPr>
        <w:t xml:space="preserve">Demidont AC · Nyx Dynamics LLC · Fairfield CT · ORCID 0000-0002-9216-8569</w:t>
      </w:r>
    </w:p>
    <w:p>
      <w:pPr>
        <w:pBdr>
          <w:bottom w:val="single" w:color="2E4057" w:sz="4" w:space="1"/>
        </w:pBdr>
        <w:spacing w:before="120" w:after="120"/>
      </w:pPr>
    </w:p>
    <w:p>
      <w:pPr>
        <w:pStyle w:val="Heading1"/>
      </w:pPr>
      <w:r>
        <w:rPr>
          <w:b/>
          <w:bCs/>
        </w:rPr>
        <w:t xml:space="preserve">METHODS</w:t>
      </w:r>
    </w:p>
    <w:p>
      <w:pPr>
        <w:pStyle w:val="Heading2"/>
      </w:pPr>
      <w:r>
        <w:rPr>
          <w:b/>
          <w:bCs/>
        </w:rPr>
        <w:t xml:space="preserve">Stochastic PEP Efficacy Model Architecture</w:t>
      </w:r>
    </w:p>
    <w:p>
      <w:pPr>
        <w:spacing w:after="160" w:line="276"/>
        <w:jc w:val="both"/>
      </w:pPr>
      <w:r>
        <w:t xml:space="preserve">Expected PEP efficacy at time t was computed as a probability-weighted integral over the source viral load (VL) distribution for each exposure context:</w:t>
      </w:r>
    </w:p>
    <w:p>
      <w:pPr>
        <w:spacing w:before="80" w:after="80"/>
        <w:jc w:val="center"/>
      </w:pPr>
      <w:r>
        <w:rPr>
          <w:rFonts w:ascii="Courier New" w:cs="Courier New" w:eastAsia="Courier New" w:hAnsi="Courier New"/>
          <w:sz w:val="20"/>
          <w:szCs w:val="20"/>
        </w:rPr>
        <w:t xml:space="preserve">E[Efficacy(t)] = ∫ Efficacy(t, VL) · P(VL) dVL</w:t>
      </w:r>
    </w:p>
    <w:p>
      <w:pPr>
        <w:spacing w:after="160" w:line="276"/>
        <w:jc w:val="both"/>
      </w:pPr>
      <w:r>
        <w:t xml:space="preserve">where Efficacy(t, VL) is the deterministic efficacy curve from the parenteral exposure model anchored to Perelson et al. (1996)</w:t>
      </w:r>
      <w:r>
        <w:rPr>
          <w:vertAlign w:val="superscript"/>
        </w:rPr>
        <w:t xml:space="preserve">1</w:t>
      </w:r>
      <w:r>
        <w:t xml:space="preserve"> kinetic parameters, and P(VL) is a log-normal VL density parameterised for each distribution (Table 1). Monte Carlo integration used 10,000 draws per time point across 50 equally spaced time points from 0 to 120 hours. All uncertainty intervals represent 95% credible intervals derived from the simulated efficacy distribution at each time point, not parameter bootstrap confidence intervals.</w:t>
      </w:r>
    </w:p>
    <w:p>
      <w:pPr>
        <w:pStyle w:val="Heading2"/>
      </w:pPr>
      <w:r>
        <w:rPr>
          <w:b/>
          <w:bCs/>
        </w:rPr>
        <w:t xml:space="preserve">Source VL Distributions</w:t>
      </w:r>
    </w:p>
    <w:p>
      <w:pPr>
        <w:spacing w:after="160" w:line="276"/>
        <w:jc w:val="both"/>
      </w:pPr>
      <w:r>
        <w:t xml:space="preserve">Four source VL distributions were parameterised to represent distinct exposure network contexts (Table 1). For PWID in high-prevalence settings with low treatment coverage, VL was modelled as log-normal with mean log₁₀ = 4.5 and SD = 1.1, consistent with chronic untreated HIV-1 infection in this population based on NHBS/NHAS surveillance data. An acute-infection-enriched network distribution (mean log₁₀ = 5.0, SD = 0.9) was parameterised to reflect networks with high transmission efficiency and recent infection clustering. A general HIV-positive community distribution (mean log₁₀ = 3.8, SD = 1.2) and a PWID mixed treatment-status distribution (mean log₁₀ = 3.2, SD = 1.5) were also included. The latter captures the bimodal distribution arising from a mixture of suppressed and unsuppressed individuals in partially treated PWID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60"/>
        <w:gridCol w:w="3000"/>
      </w:tblGrid>
      <w:tr>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Distribution</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Mean log₁₀ VL</w:t>
            </w:r>
          </w:p>
        </w:tc>
        <w:tc>
          <w:tcPr>
            <w:tcW w:type="dxa" w:w="1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SD</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Context</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PWID (untreated/unsuppressed)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4.5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High-burden PWID, low ART coverage (NHBS/NHAS)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PWID (mixed treatment 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Partially treated PWID network; bimodal VL mix</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General HIV+ community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3.8</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Mixed treatment uptake, general MSM/community</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Acute-infection-enriched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5.0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0.9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High-transmission networks, recent infection concentration</w:t>
            </w:r>
          </w:p>
        </w:tc>
      </w:tr>
    </w:tbl>
    <w:p>
      <w:pPr>
        <w:spacing w:after="120"/>
      </w:pPr>
      <w:r>
        <w:rPr>
          <w:i/>
          <w:iCs/>
          <w:sz w:val="18"/>
          <w:szCs w:val="18"/>
        </w:rPr>
        <w:t xml:space="preserve">Table 1. Source VL distributions used in stochastic efficacy model.</w:t>
      </w:r>
    </w:p>
    <w:p>
      <w:pPr>
        <w:pStyle w:val="Heading2"/>
      </w:pPr>
      <w:r>
        <w:rPr>
          <w:b/>
          <w:bCs/>
        </w:rPr>
        <w:t xml:space="preserve">Three-Regime Temporal Classification</w:t>
      </w:r>
    </w:p>
    <w:p>
      <w:pPr>
        <w:spacing w:after="160" w:line="276"/>
        <w:jc w:val="both"/>
      </w:pPr>
      <w:r>
        <w:t xml:space="preserve">To characterise the temporal structure of PEP decision uncertainty, we classified the 0–120-hour intervention window into three functional regimes based on the 95% CI width of the efficacy distribution as a function of time. Regime boundaries were defined objectively from the CI width trajectory rather than from arbitrary clinical thresholds:</w:t>
      </w:r>
    </w:p>
    <w:p>
      <w:pPr>
        <w:spacing w:after="160" w:line="276"/>
        <w:jc w:val="both"/>
      </w:pPr>
      <w:r>
        <w:rPr>
          <w:b/>
          <w:bCs/>
        </w:rPr>
        <w:t xml:space="preserve">Regime 1 — Early Window (0–19.6h): </w:t>
      </w:r>
      <w:r>
        <w:t xml:space="preserve">CI width is narrow and increasing. Efficacy is high (&gt;90% mean for PWID untreated) and relatively insensitive to VL uncertainty. The dominant kinetic constraint is the seeding midpoint — inoculum establishment — rather than proviral integration. VL knowledge adds marginal precision gain.</w:t>
      </w:r>
    </w:p>
    <w:p>
      <w:pPr>
        <w:spacing w:after="160" w:line="276"/>
        <w:jc w:val="both"/>
      </w:pPr>
      <w:r>
        <w:rPr>
          <w:b/>
          <w:bCs/>
        </w:rPr>
        <w:t xml:space="preserve">Regime 2 — Critical Window (22.0–75.9h): </w:t>
      </w:r>
      <w:r>
        <w:t xml:space="preserve">CI width is maximal, reaching its peak (39.7 percentage points) at 49.0 hours for the PWID untreated distribution. This regime corresponds to the phase during which the integration time distribution is actively traversed: for some VL draws, integration is already complete, while for others it has not yet occurred. The VL knowledge premium is highest within this regime, peaking at 2.94 percentage points (absolute) at 21 hours for PWID untreated and 3.76 percentage points for the acute-infection-enriched distribution. This is the regime where source VL knowledge is clinically actionable.</w:t>
      </w:r>
    </w:p>
    <w:p>
      <w:pPr>
        <w:spacing w:after="160" w:line="276"/>
        <w:jc w:val="both"/>
      </w:pPr>
      <w:r>
        <w:rPr>
          <w:b/>
          <w:bCs/>
        </w:rPr>
        <w:t xml:space="preserve">Regime 3 — Late Window (78.4–120h): </w:t>
      </w:r>
      <w:r>
        <w:t xml:space="preserve">CI width collapses as efficacy approaches zero asymptotically across all VL draws. By 72 hours, 91.8% of draws yield futile outcomes (efficacy &lt;5%) for PWID untreated; for the acute-infection-enriched distribution this rises to 98.8%. Uncertainty is low because the outcome is uniformly poor regardless of VL.</w:t>
      </w:r>
    </w:p>
    <w:p>
      <w:pPr>
        <w:spacing w:after="160" w:line="276"/>
        <w:jc w:val="both"/>
      </w:pPr>
      <w:r>
        <w:t xml:space="preserve">These regime boundaries are consistent with the kinetic parameters derived from Perelson et al. (1996)¹ — specifically, the eclipse phase (0.9 days ≈ 22 hours) defines the floor of the critical window, and the viral generation time (2.6 days ≈ 62 hours) circumscribes the outer boundary of meaningful intervention.</w:t>
      </w:r>
    </w:p>
    <w:p>
      <w:pPr>
        <w:pStyle w:val="Heading2"/>
      </w:pPr>
      <w:r>
        <w:rPr>
          <w:b/>
          <w:bCs/>
        </w:rPr>
        <w:t xml:space="preserve">VL Knowledge Premium Analysis</w:t>
      </w:r>
    </w:p>
    <w:p>
      <w:pPr>
        <w:spacing w:after="160" w:line="276"/>
        <w:jc w:val="both"/>
      </w:pPr>
      <w:r>
        <w:t xml:space="preserve">The VL knowledge premium was defined as the absolute difference in expected efficacy between a scenario in which the source VL is known (efficacy computed at the point estimate) versus unknown (efficacy marginalised over the full VL distribution). This quantity was computed across all four distributions at 15 time points from 0 to 72 hours. The non-monotonic shape of the premium curve in the 18–36-hour window — in which the premium initially rises, plateaus, then dips before rising again — was confirmed as a real model signal and not a numerical artefact. It arises from the interaction of the logistic inflection of the integration curve with the 2-hour urgency reduction applied in the parenteral model at the seeding midpoint, and was preserved in all reported outputs without smoothing.</w:t>
      </w:r>
    </w:p>
    <w:p>
      <w:pPr>
        <w:pStyle w:val="Heading2"/>
      </w:pPr>
      <w:r>
        <w:rPr>
          <w:b/>
          <w:bCs/>
        </w:rPr>
        <w:t xml:space="preserve">Threshold Probability Metrics</w:t>
      </w:r>
    </w:p>
    <w:p>
      <w:pPr>
        <w:spacing w:after="160" w:line="276"/>
        <w:jc w:val="both"/>
      </w:pPr>
      <w:r>
        <w:t xml:space="preserve">In addition to mean and median efficacy, we report three threshold probability metrics derived from the stochastic efficacy distribution at each time point: P(efficacy &lt; 50%), P(efficacy &lt; 30%), and P(futile) — defined as P(efficacy &lt; 5%). These metrics capture the distribution tail relevant to individual clinical decisions. At 36 hours, P(efficacy &lt; 50%) reaches 78.8% for the PWID untreated distribution, meaning that in nearly four in five stochastic scenarios, a PEP course initiated at 36 hours provides less than a coin-toss probability of preventing infection given the source VL distribution. At 48 hours, P(efficacy &lt; 50%) = 100% across all distributions, and P(futile) exceeds 9% for PWID untreated and 13.8% for the acute-infection-enriched distribution. The median efficacy is systematically lower than the mean at time points beyond 36 hours (difference up to −3.4 percentage points), indicating right-skew collapse in the distribution: a minority of high-VL draws retain near-zero efficacy while the majority converge on an intermediate low value.</w:t>
      </w:r>
    </w:p>
    <w:p>
      <w:pPr>
        <w:pStyle w:val="Heading2"/>
      </w:pPr>
      <w:r>
        <w:rPr>
          <w:b/>
          <w:bCs/>
        </w:rPr>
        <w:t xml:space="preserve">City-Stratified Analysis</w:t>
      </w:r>
    </w:p>
    <w:p>
      <w:pPr>
        <w:pStyle w:val="Heading3"/>
      </w:pPr>
      <w:r>
        <w:rPr>
          <w:b/>
          <w:bCs/>
        </w:rPr>
        <w:t xml:space="preserve">City-Level VL Distribution Derivation</w:t>
      </w:r>
    </w:p>
    <w:p>
      <w:pPr>
        <w:spacing w:after="160" w:line="276"/>
        <w:jc w:val="both"/>
      </w:pPr>
      <w:r>
        <w:t xml:space="preserve">To ground stochastic model parameters in empirical surveillance data, we extracted city-level variables from AIDSVu downloadable datasets for 34 high-burden US metropolitan areas (2023 data). The core VL distribution parameter derivation employed a two-component mixture model. The unsuppressed HIV VL component was parameterised as log-normal with mean log₁₀ = 4.5 and SD = 1.1, based on NHBS/NHAS surveillance characterisation of viral burden in chronic untreated infection in this population. The suppressed component was parameterised as log-normal with mean log₁₀ = 1.5 and SD = 0.4, reflecting virological suppression below the limit of detection in patients receiving effective ART. For each city, mixture parameters were computed using the law of total variance:</w:t>
      </w:r>
    </w:p>
    <w:p>
      <w:pPr>
        <w:spacing w:before="80" w:after="80"/>
        <w:jc w:val="center"/>
      </w:pPr>
      <w:r>
        <w:rPr>
          <w:rFonts w:ascii="Courier New" w:cs="Courier New" w:eastAsia="Courier New" w:hAnsi="Courier New"/>
          <w:sz w:val="20"/>
          <w:szCs w:val="20"/>
        </w:rPr>
        <w:t xml:space="preserve">μ_mix  = f_s · μ_supp  + (1 − f_s) · μ_unsupp</w:t>
      </w:r>
    </w:p>
    <w:p>
      <w:pPr>
        <w:spacing w:before="80" w:after="80"/>
        <w:jc w:val="center"/>
      </w:pPr>
      <w:r>
        <w:rPr>
          <w:rFonts w:ascii="Courier New" w:cs="Courier New" w:eastAsia="Courier New" w:hAnsi="Courier New"/>
          <w:sz w:val="20"/>
          <w:szCs w:val="20"/>
        </w:rPr>
        <w:t xml:space="preserve">σ²_mix = f_s·(σ²_s + μ²_s) + (1−f_s)·(σ²_u + μ²_u) − μ²_mix</w:t>
      </w:r>
    </w:p>
    <w:p>
      <w:pPr>
        <w:spacing w:after="160" w:line="276"/>
        <w:jc w:val="both"/>
      </w:pPr>
      <w:r>
        <w:t xml:space="preserve">where f_s is the city-specific viral suppression fraction from AIDSVu. An IDU-specific adjustment reduced f_s by 0.12 percentage points per percentage point of IDU prevalence (capped at 12 percentage points), reflecting documented suppression gaps in this population from NHBS/NHAS surveillance data.</w:t>
      </w:r>
    </w:p>
    <w:p>
      <w:pPr>
        <w:pStyle w:val="Heading3"/>
      </w:pPr>
      <w:r>
        <w:rPr>
          <w:b/>
          <w:bCs/>
        </w:rPr>
        <w:t xml:space="preserve">Structural Delay Derivation</w:t>
      </w:r>
    </w:p>
    <w:p>
      <w:pPr>
        <w:spacing w:after="160" w:line="276"/>
        <w:jc w:val="both"/>
      </w:pPr>
      <w:r>
        <w:t xml:space="preserve">City-specific structural delay was estimated from two AIDSVu variables: late diagnosis percentage (proxy for healthcare avoidance, reflecting the criminalisation-stigma barrier) and linkage-to-care percentage (proxy for infrastructure navigation barrier). Total structural delay was computed as:</w:t>
      </w:r>
    </w:p>
    <w:p>
      <w:pPr>
        <w:spacing w:before="80" w:after="80"/>
        <w:jc w:val="center"/>
      </w:pPr>
      <w:r>
        <w:rPr>
          <w:rFonts w:ascii="Courier New" w:cs="Courier New" w:eastAsia="Courier New" w:hAnsi="Courier New"/>
          <w:sz w:val="20"/>
          <w:szCs w:val="20"/>
        </w:rPr>
        <w:t xml:space="preserve">Δt_structural = β₁·(LateDx% − 10%) + β₂·max(90% − Linkage%, 0) + Δt_SDOH</w:t>
      </w:r>
    </w:p>
    <w:p>
      <w:pPr>
        <w:spacing w:after="160" w:line="276"/>
        <w:jc w:val="both"/>
      </w:pPr>
      <w:r>
        <w:t xml:space="preserve">where β₁ = 1.2 h/% and β₂ = 0.3 h/%, calibrated such that the median city (late dx ≈20%, linkage ≈79%) yields approximately 6 hours, consistent with empirical PWID healthcare access data. An SDOH modifier (0–6 hours) was applied based on Gini coefficient and poverty percentage where available. Three delay categories were defined: low barrier (&lt;8 hours), moderate barrier (8–30 hours), and high barrier (&gt;30 hours).</w:t>
      </w:r>
    </w:p>
    <w:p>
      <w:pPr>
        <w:pStyle w:val="Heading3"/>
      </w:pPr>
      <w:r>
        <w:rPr>
          <w:b/>
          <w:bCs/>
        </w:rPr>
        <w:t xml:space="preserve">Counterfactual Analysis</w:t>
      </w:r>
    </w:p>
    <w:p>
      <w:pPr>
        <w:spacing w:after="160" w:line="276"/>
        <w:jc w:val="both"/>
      </w:pPr>
      <w:r>
        <w:t xml:space="preserve">To isolate the independent contribution of structural delay to PEP efficacy loss, we ran a parallel simulation in which all cities were assigned a uniform 24-hour delay. The difference between observed and counterfactual efficacy quantifies the marginal efficacy attributable to structural barriers above and beyond the biological constraint imposed by parenteral exposure kinetics. Because 33 of 34 cities have actual structural delays shorter than 24 hours, the observed efficacy in these cities exceeds the counterfactual, confirming the simulation behaves in the expected direction: reducing structural delay to below 24 hours recovers efficacy that would otherwise be lost.</w:t>
      </w:r>
    </w:p>
    <w:p>
      <w:pPr>
        <w:pBdr>
          <w:bottom w:val="single" w:color="2E4057" w:sz="4" w:space="1"/>
        </w:pBdr>
        <w:spacing w:before="120" w:after="120"/>
      </w:pPr>
    </w:p>
    <w:p>
      <w:pPr>
        <w:pStyle w:val="Heading1"/>
      </w:pPr>
      <w:r>
        <w:rPr>
          <w:b/>
          <w:bCs/>
        </w:rPr>
        <w:t xml:space="preserve">RESULTS</w:t>
      </w:r>
    </w:p>
    <w:p>
      <w:pPr>
        <w:pStyle w:val="Heading2"/>
      </w:pPr>
      <w:r>
        <w:rPr>
          <w:b/>
          <w:bCs/>
        </w:rPr>
        <w:t xml:space="preserve">Stochastic PEP Efficacy Under Source VL Uncertainty</w:t>
      </w:r>
    </w:p>
    <w:p>
      <w:pPr>
        <w:pStyle w:val="Heading3"/>
      </w:pPr>
      <w:r>
        <w:rPr>
          <w:b/>
          <w:bCs/>
        </w:rPr>
        <w:t xml:space="preserve">Baseline and Early-Window Efficacy</w:t>
      </w:r>
    </w:p>
    <w:p>
      <w:pPr>
        <w:spacing w:after="160" w:line="276"/>
        <w:jc w:val="both"/>
      </w:pPr>
      <w:r>
        <w:t xml:space="preserve">Across all four source VL distributions, maximal expected PEP efficacy at time zero ranged from 96.3% (95% CI: 92.0%–98.5%) for the acute-infection-enriched distribution to 97.0% (95% CI: 92.4%–98.9%) for PWID untreated. The compressed baseline efficacy in the acute-infection-enriched network reflects the higher probability of encountering very high-VL sources in whom seeding is rapid. Within Regime 1 (0–19.6 hours), mean efficacy remained above 90% across all distributions, and 95% CI widths were narrow (≤15 percentage points), indicating that VL uncertainty does not meaningfully affect the clinical decision at this early stage.</w:t>
      </w:r>
    </w:p>
    <w:p>
      <w:pPr>
        <w:pStyle w:val="Heading3"/>
      </w:pPr>
      <w:r>
        <w:rPr>
          <w:b/>
          <w:bCs/>
        </w:rPr>
        <w:t xml:space="preserve">Regime Structure and CI Width Dynamics</w:t>
      </w:r>
    </w:p>
    <w:p>
      <w:pPr>
        <w:spacing w:after="160" w:line="276"/>
        <w:jc w:val="both"/>
      </w:pPr>
      <w:r>
        <w:t xml:space="preserve">The 95% CI width of the stochastic efficacy distribution followed a non-monotonic trajectory across all four distributions, identifying three empirically distinct temporal regimes. In Regime 1 (0–19.6 hours), CI widths increased gradually from 6.5 percentage points at time zero to approximately 15 percentage points as the seeding midpoint distribution was traversed. In Regime 2 (22.0–75.9 hours), CI width expanded sharply, reaching its maximum of 39.7 percentage points at 49.0 hours for the PWID untreated distribution and 40.1 percentage points at 53.9 hours for the mixed treatment-status distribution. In Regime 3 (78.4–120 hours), CI widths contracted as efficacy converged toward zero across all VL draws, falling below 10 percentage points by 90 hours. The regime transition at approximately 22 hours is mechanistically interpretable: it corresponds to the eclipse phase lower bound derived from Perelson et al. (1996)</w:t>
      </w:r>
      <w:r>
        <w:rPr>
          <w:vertAlign w:val="superscript"/>
        </w:rPr>
        <w:t xml:space="preserve">1</w:t>
      </w:r>
      <w:r>
        <w:t xml:space="preserve"> (0.9 days ≈22 hours), below which proviral integration cannot yet be complete for any VL draw; above this threshold, integration is complete for an increasing fraction of draws as VL rises.</w:t>
      </w:r>
    </w:p>
    <w:p>
      <w:pPr>
        <w:pStyle w:val="Heading3"/>
      </w:pPr>
      <w:r>
        <w:rPr>
          <w:b/>
          <w:bCs/>
        </w:rPr>
        <w:t xml:space="preserve">Threshold Probability Metrics</w:t>
      </w:r>
    </w:p>
    <w:p>
      <w:pPr>
        <w:spacing w:after="160" w:line="276"/>
        <w:jc w:val="both"/>
      </w:pPr>
      <w:r>
        <w:t xml:space="preserve">The threshold probability metrics reveal a steep degradation in clinical utility across Regime 2. For the PWID untreated distribution, P(efficacy &lt; 50%) crosses 50% between 24 and 36 hours and reaches 78.8% at 36 hours, meaning that in most stochastic scenarios a PEP course initiated at 36 hours fails to achieve majority protection against a source with this VL distribution. At 48 hours, P(efficacy &lt; 50%) = 100% across all distributions. P(futile) — the probability that expected efficacy is below 5% — first becomes non-zero at 48 hours (PWID untreated: 9.1%; acute-infection-enriched: 13.8%) and reaches 91.8% and 98.8%, respectively, by 72 hours. The PWID mixed treatment-status and general community distributions show more gradual degradation consistent with their lower mean VL, with P(futile) at 72 hours of 56.5% and 76.0%, respectively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080"/>
        <w:gridCol w:w="1080"/>
        <w:gridCol w:w="1100"/>
        <w:gridCol w:w="1100"/>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Distribution</w:t>
            </w:r>
          </w:p>
        </w:tc>
        <w:tc>
          <w:tcPr>
            <w:tcW w:type="dxa" w:w="1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24h mean%</w:t>
            </w:r>
          </w:p>
        </w:tc>
        <w:tc>
          <w:tcPr>
            <w:tcW w:type="dxa" w:w="1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36h mean%</w:t>
            </w:r>
          </w:p>
        </w:tc>
        <w:tc>
          <w:tcPr>
            <w:tcW w:type="dxa" w:w="10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48h P(&lt;50%)</w:t>
            </w:r>
          </w:p>
        </w:tc>
        <w:tc>
          <w:tcPr>
            <w:tcW w:type="dxa" w:w="10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48h P(futile)</w:t>
            </w:r>
          </w:p>
        </w:tc>
        <w:tc>
          <w:tcPr>
            <w:tcW w:type="dxa" w:w="1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72h P(futile)</w:t>
            </w:r>
          </w:p>
        </w:tc>
        <w:tc>
          <w:tcPr>
            <w:tcW w:type="dxa" w:w="1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8"/>
                <w:szCs w:val="18"/>
              </w:rPr>
              <w:t xml:space="preserve">Peak CI width</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PWID untreated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65.5%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44.6%</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100%</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9.1%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91.8%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39.7pp @ 49h</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PWID mixed Tx</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75.4%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52.8%</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100%</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56.5%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40.1pp @ 54h</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General community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71.2%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49.2%</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100%</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76.0%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39.8pp @ 54h</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Acute-enriched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61.2%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41.3%</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100%</w:t>
            </w:r>
          </w:p>
        </w:tc>
        <w:tc>
          <w:tcPr>
            <w:tcW w:type="dxa" w:w="10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13.8%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98.8%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8"/>
                <w:szCs w:val="18"/>
              </w:rPr>
              <w:t xml:space="preserve">37.4pp @ 49h</w:t>
            </w:r>
          </w:p>
        </w:tc>
      </w:tr>
    </w:tbl>
    <w:p>
      <w:pPr>
        <w:spacing w:after="120"/>
      </w:pPr>
      <w:r>
        <w:rPr>
          <w:i/>
          <w:iCs/>
          <w:sz w:val="18"/>
          <w:szCs w:val="18"/>
        </w:rPr>
        <w:t xml:space="preserve">Table 2. Stochastic efficacy metrics at key time points by VL distribution. P(futile) = P(efficacy &lt; 5%). CI width = peak 95% CI width in percentage points (pp).</w:t>
      </w:r>
    </w:p>
    <w:p>
      <w:pPr>
        <w:pStyle w:val="Heading3"/>
      </w:pPr>
      <w:r>
        <w:rPr>
          <w:b/>
          <w:bCs/>
        </w:rPr>
        <w:t xml:space="preserve">VL Knowledge Premium</w:t>
      </w:r>
    </w:p>
    <w:p>
      <w:pPr>
        <w:spacing w:after="160" w:line="276"/>
        <w:jc w:val="both"/>
      </w:pPr>
      <w:r>
        <w:t xml:space="preserve">The VL knowledge premium — the gain in expected efficacy from knowing the source VL precisely versus marginalising over the distribution — peaks within Regime 2 for all four distributions. For the PWID untreated distribution, the premium peaks at 2.94 percentage points at 21 hours. The acute-infection-enriched distribution shows the largest premium (3.76 percentage points at 21 hours), reflecting the greater dispersion of outcomes at high VL. Distributions with lower mean VL (PWID mixed: 1.27 percentage points; general community: 1.87 percentage points) exhibit smaller premiums consistent with tighter integration time distributions. A non-monotonic plateau in the premium curve between 18 and 36 hours was identified for the PWID untreated and acute-infection-enriched distributions, arising from the interaction between the logistic inflection of the integration-seeding cascade and the 2-hour urgency reduction built into the parenteral model; this feature was verified as a real model signal and preserved in reported outputs.</w:t>
      </w:r>
    </w:p>
    <w:p>
      <w:pPr>
        <w:pStyle w:val="Heading2"/>
      </w:pPr>
      <w:r>
        <w:rPr>
          <w:b/>
          <w:bCs/>
        </w:rPr>
        <w:t xml:space="preserve">City-Stratified PEP Efficacy</w:t>
      </w:r>
    </w:p>
    <w:p>
      <w:pPr>
        <w:spacing w:after="160" w:line="276"/>
        <w:jc w:val="both"/>
      </w:pPr>
      <w:r>
        <w:t xml:space="preserve">Across 34 high-burden US metropolitan areas, expected PEP efficacy at city-specific structural delay ranged from 78.8% (Hartford, CT; 24.4-hour delay) to 98.3% (Milwaukee, WI; 1.9-hour delay), a range of 19.5 percentage points attributable almost entirely to structural delay heterogeneity (Pearson r = −0.935) rather than community VL (r = −0.084). Seven cities exhibited moderate-barrier structural delays (8–30 hours): Hartford, San Juan PR, Palm Beach County FL, Columbia SC, New Haven CT, Charleston SC, and Raleigh NC.</w:t>
      </w:r>
    </w:p>
    <w:p>
      <w:pPr>
        <w:spacing w:after="160" w:line="276"/>
        <w:jc w:val="both"/>
      </w:pPr>
      <w:r>
        <w:t xml:space="preserve">The highest community VL burden was observed in San Juan, Puerto Rico (mean log₁₀ VL = 3.02; viral suppression 52.1%; IDU prevalence 22.2%), reflecting compounding low suppression and high IDU concentration. Combined with a 13.3-hour structural delay driven primarily by a 37-percentage-point linkage-to-care gap (63% vs. 90% reference), San Juan's expected PEP efficacy was 91.3% (95% CI: 72.5%–97.2%) — the second lowest in the cohort. Hartford exhibited the longest structural delay (24.4 hours) attributable to the highest late-diagnosis percentage in the dataset (37.2%), consistent with its 23.4% IDU prevalence and criminalisation-related healthcare avoidance. At this delay, expected PEP efficacy (78.8%, 95% CI: 54.1%–89.2%) approached the 24-hour counterfactual value (79.5%), confirming that structural barriers had already consumed the biological window.</w:t>
      </w:r>
    </w:p>
    <w:p>
      <w:pPr>
        <w:pStyle w:val="Heading3"/>
      </w:pPr>
      <w:r>
        <w:rPr>
          <w:b/>
          <w:bCs/>
        </w:rPr>
        <w:t xml:space="preserve">Counterfactual Analysis: Structural Delay as Efficacy Penalty</w:t>
      </w:r>
    </w:p>
    <w:p>
      <w:pPr>
        <w:spacing w:after="160" w:line="276"/>
        <w:jc w:val="both"/>
      </w:pPr>
      <w:r>
        <w:t xml:space="preserve">When all 34 cities were modelled at a uniform 24-hour delay, the expected efficacy range narrowed to 76.2%–82.1%, with the lowest values in cities with the highest community VL burden: San Juan (76.1%), Phoenix AZ (76.6%), and Jackson MS (76.7%). This VL-mediated disparity persisted even after equalising structural delays, confirming that community VL independently compresses the biological PEP window via within-host kinetics consistent with Perelson et al. (1996)</w:t>
      </w:r>
      <w:r>
        <w:rPr>
          <w:vertAlign w:val="superscript"/>
        </w:rPr>
        <w:t xml:space="preserve">1</w:t>
      </w:r>
      <w:r>
        <w:t xml:space="preserve">: higher viral inoculum accelerates the reverse transcription → nuclear import → proviral integration cascade, shortening the window before irreversibility. For 33 of 34 cities, actual PEP efficacy exceeded the 24-hour counterfactual because structural delays are currently shorter than 24 hours — a finding that inverts conventional framing: the 72-hour window is not a target; it is a biological ceiling for mucosal exposure. For parenteral exposure in PWID, the effective window is substantially compressed, and structural delays exceeding approximately 6 hours begin to meaningfully erode efficacy.</w:t>
      </w:r>
    </w:p>
    <w:p>
      <w:pPr>
        <w:pBdr>
          <w:bottom w:val="single" w:color="2E4057" w:sz="4" w:space="1"/>
        </w:pBdr>
        <w:spacing w:before="120" w:after="120"/>
      </w:pPr>
    </w:p>
    <w:p>
      <w:pPr>
        <w:pStyle w:val="Heading1"/>
      </w:pPr>
      <w:r>
        <w:rPr>
          <w:b/>
          <w:bCs/>
        </w:rPr>
        <w:t xml:space="preserve">DISCUSSION</w:t>
      </w:r>
    </w:p>
    <w:p>
      <w:pPr>
        <w:spacing w:after="160" w:line="276"/>
        <w:jc w:val="both"/>
      </w:pPr>
      <w:r>
        <w:t xml:space="preserve">The three-regime temporal structure identified by the CI width analysis provides an empirically grounded framework for understanding when VL uncertainty matters clinically — and when it does not. In Regime 1 (0–20 hours), efficacy is high and VL uncertainty is relatively unimportant: PEP should be initiated immediately regardless of source characteristics. In Regime 3 (beyond 78 hours), efficacy is so uniformly poor that VL is irrelevant from the opposite direction: the outcome is unfavourable regardless. It is specifically in Regime 2 (22–76 hours) that source VL knowledge becomes clinically actionable. The VL knowledge premium of up to 3.76 percentage points at 21 hours represents the marginal benefit of rapid point-of-care VL testing or partner notification with known VL status — a benefit that is largest, paradoxically, at the frontier of the critical window rather than at the extreme ends.</w:t>
      </w:r>
    </w:p>
    <w:p>
      <w:pPr>
        <w:spacing w:after="160" w:line="276"/>
        <w:jc w:val="both"/>
      </w:pPr>
      <w:r>
        <w:t xml:space="preserve">The finding that P(efficacy &lt; 50%) reaches 78.8% at 36 hours for the PWID untreated distribution carries direct policy implications for the conventional 72-hour presentation window. This is not a probabilistic statement about drug pharmacology; the drugs retain their mechanistic potency regardless of timing. Rather, it is a statement about the probability that the biological precondition for PEP efficacy — irreversible proviral integration not yet having occurred — is satisfied at a given time point given realistic source VL distributions in PWID exposure networks. The conventional framing of "PEP is available up to 72 hours" systematically conflates biological ceiling with clinical standard of care.</w:t>
      </w:r>
    </w:p>
    <w:p>
      <w:pPr>
        <w:spacing w:after="160" w:line="276"/>
        <w:jc w:val="both"/>
      </w:pPr>
      <w:r>
        <w:t xml:space="preserve">The city-stratified analysis extends this stochastic framework from a theoretical instrument to an empirically parameterised, policy-actionable one. The data reveal a consistent pattern: cities with high IDU prevalence (Hartford 23.4%, San Juan 22.2%, New Haven 22%, Bridgeport 17%) exhibit lower viral suppression, worse linkage to care, and longer structural delays — a cascade of compounding disadvantage that narrows the PEP window from both the VL direction (faster integration time) and the structural direction (later presentation) simultaneously. The Pearson correlation between structural delay and efficacy (r = −0.935) versus community VL and efficacy (r = −0.084) indicates that in the current US landscape, structural reform — not biological intervention — is the dominant lever for PEP effectiveness.</w:t>
      </w:r>
    </w:p>
    <w:p>
      <w:pPr>
        <w:spacing w:after="160" w:line="276"/>
        <w:jc w:val="both"/>
      </w:pPr>
      <w:r>
        <w:t xml:space="preserve">The Perelson 1996 parameters provide the within-host kinetic grounding for this analysis.</w:t>
      </w:r>
      <w:r>
        <w:rPr>
          <w:vertAlign w:val="superscript"/>
        </w:rPr>
        <w:t xml:space="preserve">1</w:t>
      </w:r>
      <w:r>
        <w:t xml:space="preserve"> A virion half-life of 0.24 days (~6 hours) implies that at high VL (&gt;10⁵ copies/mL), sufficient inoculum for productive infection is established within hours of parenteral exposure. The 2.6-day viral generation time (≈62 hours) circumscribes the outer boundary of pre-integration intervention; structural delays approaching this threshold render PEP mechanistically futile regardless of drug efficacy. These kinetic boundaries, combined with the eclipse phase (~22 hours) that defines the floor of the critical window, generate a tightly constrained biological framework within which all structural and social determinants of PEP access must operate.</w:t>
      </w:r>
    </w:p>
    <w:p>
      <w:pPr>
        <w:pBdr>
          <w:bottom w:val="single" w:color="2E4057" w:sz="4" w:space="1"/>
        </w:pBdr>
        <w:spacing w:before="120" w:after="120"/>
      </w:pPr>
    </w:p>
    <w:p>
      <w:pPr>
        <w:pStyle w:val="Heading1"/>
      </w:pPr>
      <w:r>
        <w:rPr>
          <w:b/>
          <w:bCs/>
        </w:rPr>
        <w:t xml:space="preserve">REFERENCES</w:t>
      </w:r>
    </w:p>
    <w:p>
      <w:pPr>
        <w:spacing w:after="160" w:line="276"/>
        <w:jc w:val="both"/>
      </w:pPr>
      <w:r>
        <w:t xml:space="preserve">1. Perelson AS, Neumann AU, Markowitz M, Leonard JM, Ho DD. HIV-1 dynamics in vivo: virion clearance rate, infected cell life-span, and viral generation time. </w:t>
      </w:r>
      <w:r>
        <w:rPr>
          <w:i/>
          <w:iCs/>
        </w:rPr>
        <w:t xml:space="preserve">Science.</w:t>
      </w:r>
      <w:r>
        <w:t xml:space="preserve"> 1996;271(5255):1582–6. doi: 10.1126/science.271.5255.1582. PMID: 8599114.</w:t>
      </w:r>
    </w:p>
    <w:p>
      <w:pPr>
        <w:pBdr>
          <w:bottom w:val="single" w:color="2E4057" w:sz="4" w:space="1"/>
        </w:pBdr>
        <w:spacing w:before="120" w:after="120"/>
      </w:pPr>
    </w:p>
    <w:p>
      <w:pPr>
        <w:pStyle w:val="Heading1"/>
      </w:pPr>
      <w:r>
        <w:rPr>
          <w:b/>
          <w:bCs/>
        </w:rPr>
        <w:t xml:space="preserve">NOTES FOR MANUSCRIPT INSERTION</w:t>
      </w:r>
    </w:p>
    <w:p>
      <w:pPr>
        <w:spacing w:after="160" w:line="276"/>
        <w:jc w:val="both"/>
      </w:pPr>
      <w:r>
        <w:rPr>
          <w:b/>
          <w:bCs/>
        </w:rPr>
        <w:t xml:space="preserve">New vs. existing content: </w:t>
      </w:r>
      <w:r>
        <w:t xml:space="preserve">Sections on Stochastic PEP Model Architecture, Three-Regime Temporal Classification, VL Knowledge Premium, and Threshold Probability Metrics are new. City-Stratified Analysis expands the previously drafted section with corrected counterfactual values and adds the regime-grounded Discussion paragraph.</w:t>
      </w:r>
    </w:p>
    <w:p>
      <w:pPr>
        <w:spacing w:after="160" w:line="276"/>
        <w:jc w:val="both"/>
      </w:pPr>
      <w:r>
        <w:rPr>
          <w:b/>
          <w:bCs/>
        </w:rPr>
        <w:t xml:space="preserve">Citation note: </w:t>
      </w:r>
      <w:r>
        <w:t xml:space="preserve">The "Perelson et al. characterisation of steady-state viral burden" language has been removed from the VL distribution parameterisation (Methods, City-Level VL section). Log₁₀ = 4.5 for unsuppressed PWID is now attributed to NHBS/NHAS surveillance data throughout. Perelson 1996 is cited only for kinetic parameters (virion half-life, eclipse phase, generation time).</w:t>
      </w:r>
    </w:p>
    <w:p>
      <w:pPr>
        <w:spacing w:after="160" w:line="276"/>
        <w:jc w:val="both"/>
      </w:pPr>
      <w:r>
        <w:rPr>
          <w:b/>
          <w:bCs/>
        </w:rPr>
        <w:t xml:space="preserve">city_vl_profiles.csv upload: </w:t>
      </w:r>
      <w:r>
        <w:t xml:space="preserve">The file uploaded in this session was empty (0 rows). The 34-row × 31-column version from the prior session remains the authoritative city VL profile table.</w:t>
      </w:r>
    </w:p>
    <w:p>
      <w:pPr>
        <w:spacing w:after="160" w:line="276"/>
        <w:jc w:val="both"/>
      </w:pPr>
      <w:r>
        <w:rPr>
          <w:b/>
          <w:bCs/>
        </w:rPr>
        <w:t xml:space="preserve">Regime boundary precision: </w:t>
      </w:r>
      <w:r>
        <w:t xml:space="preserve">Regime 1 ends at 19.6h (not 20h); Regime 2 runs 22.0–75.9h; Regime 3 begins 78.4h. These exact values should be used in any quantitative claims.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2026-03-10T19:57:49.196Z</dcterms:created>
  <dcterms:modified xsi:type="dcterms:W3CDTF">2026-03-10T19:57:49.197Z</dcterms:modified>
</cp:coreProperties>
</file>

<file path=docProps/custom.xml><?xml version="1.0" encoding="utf-8"?>
<Properties xmlns="http://schemas.openxmlformats.org/officeDocument/2006/custom-properties" xmlns:vt="http://schemas.openxmlformats.org/officeDocument/2006/docPropsVTypes"/>
</file>