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S1 Appendix</w:t>
      </w:r>
    </w:p>
    <w:p>
      <w:pPr>
        <w:pStyle w:val="BodyText"/>
      </w:pPr>
      <w:r>
        <w:rPr>
          <w:i/>
        </w:rPr>
        <w:t xml:space="preserve">Components of this appendix are labelled alphabetically and are cited as, for example, “Table A in S1 Appendix” and “Fig A in S1 Appendix”.</w:t>
      </w:r>
    </w:p>
    <w:p>
      <w:pPr>
        <w:pStyle w:val="BodyText"/>
      </w:pPr>
      <w:r>
        <w:rPr>
          <w:b/>
          <w:bCs/>
        </w:rPr>
        <w:t xml:space="preserve">Structural limits of single-barrier reform in algorithmic recourse: a formal series-system model with implications for digital health</w:t>
      </w:r>
    </w:p>
    <w:p>
      <w:pPr>
        <w:pStyle w:val="BodyText"/>
      </w:pPr>
      <w:r>
        <w:t xml:space="preserve">A.C. Demidont</w:t>
      </w:r>
    </w:p>
    <w:p>
      <w:pPr>
        <w:pStyle w:val="BodyText"/>
      </w:pPr>
      <w:r>
        <w:rPr>
          <w:i/>
          <w:iCs/>
        </w:rPr>
        <w:t xml:space="preserve">Scope of claims.</w:t>
      </w:r>
      <w:r>
        <w:t xml:space="preserve"> </w:t>
      </w:r>
      <w:r>
        <w:t xml:space="preserve">All numerical values below (the 0.0018% baseline, the 0.0054% maximum single-barrier gain, the 87.6% three-way share, and the Shapley/Sobol/bootstrap/SNR outputs) are model-derived illustrations under a provisional cross-domain parameterization; they are consistent with, but not independent confirmation of, Propositions 1–2. All stochastic analyses are seeded (seed 42) and reproducible via the repository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b/>
          <w:bCs/>
        </w:rPr>
        <w:t xml:space="preserve">Table A. Individual barrier removal effects.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Baseline P (%)</w:t>
            </w:r>
          </w:p>
        </w:tc>
        <w:tc>
          <w:tcPr/>
          <w:p>
            <w:pPr>
              <w:pStyle w:val="Compact"/>
            </w:pPr>
            <w:r>
              <w:t xml:space="preserve">P with removal (%)</w:t>
            </w:r>
          </w:p>
        </w:tc>
        <w:tc>
          <w:tcPr/>
          <w:p>
            <w:pPr>
              <w:pStyle w:val="Compact"/>
            </w:pPr>
            <w:r>
              <w:t xml:space="preserve">Δ (%)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Data Transmission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t xml:space="preserve">(0.0038, 0.0046)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Multi-System Integration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(0.0013, 0.0017)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Storage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  <w:r>
              <w:t xml:space="preserve">0.0022</w:t>
            </w:r>
          </w:p>
        </w:tc>
        <w:tc>
          <w:tcPr/>
          <w:p>
            <w:pPr>
              <w:pStyle w:val="Compact"/>
            </w:pPr>
            <w:r>
              <w:t xml:space="preserve">(0.0020, 0.0024)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 Difficulty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(0.0030, 0.0036)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Process Barriers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(0.0030, 0.0036)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Correction Propagation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0.0027</w:t>
            </w:r>
          </w:p>
        </w:tc>
        <w:tc>
          <w:tcPr/>
          <w:p>
            <w:pPr>
              <w:pStyle w:val="Compact"/>
            </w:pPr>
            <w:r>
              <w:t xml:space="preserve">(0.0024, 0.0030)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Gap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t xml:space="preserve">(0.0038, 0.0046)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Access Barriers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(0.0013, 0.0017)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Knowledge Gap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0.0072</w:t>
            </w:r>
          </w:p>
        </w:tc>
        <w:tc>
          <w:tcPr/>
          <w:p>
            <w:pPr>
              <w:pStyle w:val="Compact"/>
            </w:pPr>
            <w:r>
              <w:t xml:space="preserve">0.0054</w:t>
            </w:r>
          </w:p>
        </w:tc>
        <w:tc>
          <w:tcPr/>
          <w:p>
            <w:pPr>
              <w:pStyle w:val="Compact"/>
            </w:pPr>
            <w:r>
              <w:t xml:space="preserve">(0.0050, 0.0060)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Resource Barriers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0.0027</w:t>
            </w:r>
          </w:p>
        </w:tc>
        <w:tc>
          <w:tcPr/>
          <w:p>
            <w:pPr>
              <w:pStyle w:val="Compact"/>
            </w:pPr>
            <w:r>
              <w:t xml:space="preserve">(0.0024, 0.0030)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Bias in Algorithms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t xml:space="preserve">(0.0038, 0.0046)</w:t>
            </w:r>
          </w:p>
        </w:tc>
      </w:tr>
    </w:tbl>
    <w:p>
      <w:pPr>
        <w:pStyle w:val="BodyText"/>
      </w:pPr>
      <w:r>
        <w:t xml:space="preserve">L1 = Data Integration; L2 = Data Accuracy; L3 = Institutional. All individual effects are &lt;0.02%, consistent with Proposition 1. CIs from bootstrap resampling (n = 1,000).</w:t>
      </w:r>
    </w:p>
    <w:p>
      <w:pPr>
        <w:pStyle w:val="BodyText"/>
      </w:pPr>
      <w:r>
        <w:rPr>
          <w:b/>
          <w:bCs/>
        </w:rPr>
        <w:t xml:space="preserve">Table B. Shapley value attribution.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Shapley value (%)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Knowledge Gap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10.95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Data Transmission</w:t>
            </w:r>
          </w:p>
        </w:tc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10.72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Bias in Algorithms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10.53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Correction Propagation</w:t>
            </w:r>
          </w:p>
        </w:tc>
        <w:tc>
          <w:tcPr/>
          <w:p>
            <w:pPr>
              <w:pStyle w:val="Compact"/>
            </w:pPr>
            <w:r>
              <w:t xml:space="preserve">Data Accuracy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Gap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9.67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 Difficulty</w:t>
            </w:r>
          </w:p>
        </w:tc>
        <w:tc>
          <w:tcPr/>
          <w:p>
            <w:pPr>
              <w:pStyle w:val="Compact"/>
            </w:pPr>
            <w:r>
              <w:t xml:space="preserve">Data Accuracy</w:t>
            </w:r>
          </w:p>
        </w:tc>
        <w:tc>
          <w:tcPr/>
          <w:p>
            <w:pPr>
              <w:pStyle w:val="Compact"/>
            </w:pPr>
            <w:r>
              <w:t xml:space="preserve">9.53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Process Barriers</w:t>
            </w:r>
          </w:p>
        </w:tc>
        <w:tc>
          <w:tcPr/>
          <w:p>
            <w:pPr>
              <w:pStyle w:val="Compact"/>
            </w:pPr>
            <w:r>
              <w:t xml:space="preserve">Data Accuracy</w:t>
            </w:r>
          </w:p>
        </w:tc>
        <w:tc>
          <w:tcPr/>
          <w:p>
            <w:pPr>
              <w:pStyle w:val="Compact"/>
            </w:pPr>
            <w:r>
              <w:t xml:space="preserve">9.21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Resource Barriers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8.50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Storage</w:t>
            </w:r>
          </w:p>
        </w:tc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7.79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Access Barriers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6.79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Multi-System Integration</w:t>
            </w:r>
          </w:p>
        </w:tc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Shapley values account for interaction effects across all possible removal orderings, providing fair attribution even under multiplicative blocking.</w:t>
      </w:r>
    </w:p>
    <w:p>
      <w:pPr>
        <w:pStyle w:val="BodyText"/>
      </w:pPr>
      <w:r>
        <w:rPr>
          <w:b/>
          <w:bCs/>
        </w:rPr>
        <w:t xml:space="preserve">Table C. Sobol sensitivity indices.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Interaction (ST−S1)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Data Transmission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Multi-System Integration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Storage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 Difficulty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Process Barriers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Correction Propagation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Gap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Access Barriers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Knowledge Gap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Resource Barriers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Bias in Algorithms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</w:tr>
    </w:tbl>
    <w:p>
      <w:pPr>
        <w:pStyle w:val="BodyText"/>
      </w:pPr>
      <w:r>
        <w:t xml:space="preserve">S1 = first-order (main) effects; ST = total effects including interactions. Saltelli sampling with n = 1,024 base samples (seeded). ST exceeded S1 for all barriers, but the gaps are small and, for several barriers, within Monte-Carlo error at this sample size; the characterization</w:t>
      </w:r>
      <w:r>
        <w:t xml:space="preserve"> </w:t>
      </w:r>
      <w:r>
        <w:t xml:space="preserve">“substantially exceeds S1 for all barriers”</w:t>
      </w:r>
      <w:r>
        <w:t xml:space="preserve"> </w:t>
      </w:r>
      <w:r>
        <w:t xml:space="preserve">is therefore not supported.</w:t>
      </w:r>
    </w:p>
    <w:p>
      <w:pPr>
        <w:pStyle w:val="BodyText"/>
      </w:pPr>
      <w:r>
        <w:rPr>
          <w:b/>
          <w:bCs/>
        </w:rPr>
        <w:t xml:space="preserve">Table D. Bootstrap robustness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% resamples 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Three-way factorial share (&gt;70% of achievable improvement)</w:t>
            </w:r>
          </w:p>
        </w:tc>
        <w:tc>
          <w:tcPr/>
          <w:p>
            <w:pPr>
              <w:pStyle w:val="Compact"/>
            </w:pPr>
            <w:r>
              <w:t xml:space="preserve">&gt;70%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individual barrier effect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Barriers needed for 90% success</w:t>
            </w:r>
          </w:p>
        </w:tc>
        <w:tc>
          <w:tcPr/>
          <w:p>
            <w:pPr>
              <w:pStyle w:val="Compact"/>
            </w:pPr>
            <w:r>
              <w:t xml:space="preserve">≥10 of 11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Parameter-perturbation resampling with n = 1,000 resamples and ±10% perturbation. Computed with the identical baseline factorial decomposition (subtracting main and pairwise terms), the three-way factorial share under perturbation had mean 87.7% (95% CI 84.8–90.3), centered on the canonical 87.6% — i.e., the interaction structure is stable under ±10% perturbation.</w:t>
      </w:r>
    </w:p>
    <w:p>
      <w:pPr>
        <w:pStyle w:val="BodyText"/>
      </w:pPr>
      <w:r>
        <w:rPr>
          <w:b/>
          <w:bCs/>
        </w:rPr>
        <w:t xml:space="preserve">Table E. Signal-to-noise ratio analysis.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Noise level (%)</w:t>
            </w:r>
          </w:p>
        </w:tc>
        <w:tc>
          <w:tcPr/>
          <w:p>
            <w:pPr>
              <w:pStyle w:val="Compact"/>
            </w:pPr>
            <w:r>
              <w:t xml:space="preserve">SNR (dB)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CV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Good (&gt;10 dB)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Good (&gt;10 dB)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Marginal (3–10 dB)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Marginal (3–10 dB)</w:t>
            </w:r>
          </w:p>
        </w:tc>
        <w:tc>
          <w:tcPr/>
          <w:p>
            <w:pPr>
              <w:pStyle w:val="Compact"/>
            </w:pPr>
            <w:r>
              <w:t xml:space="preserve">35.1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Marginal (3–10 dB)</w:t>
            </w:r>
          </w:p>
        </w:tc>
        <w:tc>
          <w:tcPr/>
          <w:p>
            <w:pPr>
              <w:pStyle w:val="Compact"/>
            </w:pPr>
            <w:r>
              <w:t xml:space="preserve">53.0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Poor (&lt;3 dB)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−0.4</w:t>
            </w:r>
          </w:p>
        </w:tc>
        <w:tc>
          <w:tcPr/>
          <w:p>
            <w:pPr>
              <w:pStyle w:val="Compact"/>
            </w:pPr>
            <w:r>
              <w:t xml:space="preserve">Poor (&lt;0 dB)</w:t>
            </w:r>
          </w:p>
        </w:tc>
        <w:tc>
          <w:tcPr/>
          <w:p>
            <w:pPr>
              <w:pStyle w:val="Compact"/>
            </w:pPr>
            <w:r>
              <w:t xml:space="preserve">109.8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−1.1</w:t>
            </w:r>
          </w:p>
        </w:tc>
        <w:tc>
          <w:tcPr/>
          <w:p>
            <w:pPr>
              <w:pStyle w:val="Compact"/>
            </w:pPr>
            <w:r>
              <w:t xml:space="preserve">Poor (&lt;0 dB)</w:t>
            </w:r>
          </w:p>
        </w:tc>
        <w:tc>
          <w:tcPr/>
          <w:p>
            <w:pPr>
              <w:pStyle w:val="Compact"/>
            </w:pPr>
            <w:r>
              <w:t xml:space="preserve">128.7</w:t>
            </w:r>
          </w:p>
        </w:tc>
      </w:tr>
    </w:tbl>
    <w:p>
      <w:pPr>
        <w:pStyle w:val="BodyText"/>
      </w:pPr>
      <w:r>
        <w:t xml:space="preserve">SNR remains positive (&gt;0 dB) up to approximately 20% parameter noise (seeded); the coefficient of variation rises to 109.8% at 25% and 128.7% at 30% noise, so robustness is bounded and is not claimed under arbitrary uncertainty. CV = coefficient of variation of output success probability.</w:t>
      </w:r>
    </w:p>
    <w:p>
      <w:pPr>
        <w:pStyle w:val="BodyText"/>
      </w:pPr>
      <w:r>
        <w:rPr>
          <w:b/>
          <w:bCs/>
        </w:rPr>
        <w:t xml:space="preserve">Table F. Parameter derivation audit trail (all 11 barriers).</w:t>
      </w:r>
    </w:p>
    <w:p>
      <w:pPr>
        <w:pStyle w:val="BodyText"/>
      </w:pPr>
      <w:r>
        <w:t xml:space="preserve">For each barrier: source domain, exact source statistic, resulting pass probability, plausibility range, and transportability limitation. This makes each parameter auditable from the manuscript package alone; the full derivation logic is mirrored in the repository (</w:t>
      </w:r>
      <w:r>
        <w:rPr>
          <w:rStyle w:val="VerbatimChar"/>
        </w:rPr>
        <w:t xml:space="preserve">data/parameter_sources/parameter_derivation.md</w:t>
      </w:r>
      <w:r>
        <w:t xml:space="preserve">). Each statistic is drawn from the cited primary source and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Barrier (layer)</w:t>
            </w:r>
          </w:p>
        </w:tc>
        <w:tc>
          <w:tcPr/>
          <w:p>
            <w:pPr>
              <w:pStyle w:val="Compact"/>
            </w:pPr>
            <w:r>
              <w:t xml:space="preserve">Source domain</w:t>
            </w:r>
          </w:p>
        </w:tc>
        <w:tc>
          <w:tcPr/>
          <w:p>
            <w:pPr>
              <w:pStyle w:val="Compact"/>
            </w:pPr>
            <w:r>
              <w:t xml:space="preserve">Source statistic [source]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Transportability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Data Transmission (L1)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Furnishers transmit adverse data to CRAs within 1–2 days [CFPB 2022]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0.20–0.40</w:t>
            </w:r>
          </w:p>
        </w:tc>
        <w:tc>
          <w:tcPr/>
          <w:p>
            <w:pPr>
              <w:pStyle w:val="Compact"/>
            </w:pPr>
            <w:r>
              <w:t xml:space="preserve">Credit-furnishing timing; not measured for clinical/EHR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Multi-System Integration (L1)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20% had error on ≥1 of 3 reports [FTC 2013]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0.40–0.65</w:t>
            </w:r>
          </w:p>
        </w:tc>
        <w:tc>
          <w:tcPr/>
          <w:p>
            <w:pPr>
              <w:pStyle w:val="Compact"/>
            </w:pPr>
            <w:r>
              <w:t xml:space="preserve">Cross-bureau error; not clinical multi-system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Storage (L1)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7-yr retention; &lt;20% removed in 4 yr [CFPB 2022; FCRA §605]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0.35–0.55</w:t>
            </w:r>
          </w:p>
        </w:tc>
        <w:tc>
          <w:tcPr/>
          <w:p>
            <w:pPr>
              <w:pStyle w:val="Compact"/>
            </w:pPr>
            <w:r>
              <w:t xml:space="preserve">FCRA retention regime; not healthcare record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 Difficulty (L2)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26% identified material errors [FTC 2013]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0.25–0.45</w:t>
            </w:r>
          </w:p>
        </w:tc>
        <w:tc>
          <w:tcPr/>
          <w:p>
            <w:pPr>
              <w:pStyle w:val="Compact"/>
            </w:pPr>
            <w:r>
              <w:t xml:space="preserve">Consumer credit review; not clinical error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Process Barriers (L2)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37% of disputes fully resolved [FTC 2013; CFPB 2022]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0.25–0.45</w:t>
            </w:r>
          </w:p>
        </w:tc>
        <w:tc>
          <w:tcPr/>
          <w:p>
            <w:pPr>
              <w:pStyle w:val="Compact"/>
            </w:pPr>
            <w:r>
              <w:t xml:space="preserve">Credit dispute process; not clinical data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Correction Propagation (L2)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Corrections do not auto-propagate across CRAs [CFPB 2022; FTC 2015]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0.30–0.50</w:t>
            </w:r>
          </w:p>
        </w:tc>
        <w:tc>
          <w:tcPr/>
          <w:p>
            <w:pPr>
              <w:pStyle w:val="Compact"/>
            </w:pPr>
            <w:r>
              <w:t xml:space="preserve">Inter-CRA propagation; not clinical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 Gap (L3)</w:t>
            </w:r>
          </w:p>
        </w:tc>
        <w:tc>
          <w:tcPr/>
          <w:p>
            <w:pPr>
              <w:pStyle w:val="Compact"/>
            </w:pPr>
            <w:r>
              <w:t xml:space="preserve">Civil legal</w:t>
            </w:r>
          </w:p>
        </w:tc>
        <w:tc>
          <w:tcPr/>
          <w:p>
            <w:pPr>
              <w:pStyle w:val="Compact"/>
            </w:pPr>
            <w:r>
              <w:t xml:space="preserve">Help sought for ~1 in 4 civil legal problems [LSC 2022]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0.20–0.40</w:t>
            </w:r>
          </w:p>
        </w:tc>
        <w:tc>
          <w:tcPr/>
          <w:p>
            <w:pPr>
              <w:pStyle w:val="Compact"/>
            </w:pPr>
            <w:r>
              <w:t xml:space="preserve">Civil legal need; not algorithmic-decision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Access Barriers (L3)</w:t>
            </w:r>
          </w:p>
        </w:tc>
        <w:tc>
          <w:tcPr/>
          <w:p>
            <w:pPr>
              <w:pStyle w:val="Compac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</w:pPr>
            <w:r>
              <w:t xml:space="preserve">Statutory free-report access with practical barriers [FCRA §612; CFPB 2022]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0.45–0.65</w:t>
            </w:r>
          </w:p>
        </w:tc>
        <w:tc>
          <w:tcPr/>
          <w:p>
            <w:pPr>
              <w:pStyle w:val="Compact"/>
            </w:pPr>
            <w:r>
              <w:t xml:space="preserve">FCRA access; not clinical record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Knowledge Gap (L3)</w:t>
            </w:r>
          </w:p>
        </w:tc>
        <w:tc>
          <w:tcPr/>
          <w:p>
            <w:pPr>
              <w:pStyle w:val="Compact"/>
            </w:pPr>
            <w:r>
              <w:t xml:space="preserve">Civil legal</w:t>
            </w:r>
          </w:p>
        </w:tc>
        <w:tc>
          <w:tcPr/>
          <w:p>
            <w:pPr>
              <w:pStyle w:val="Compact"/>
            </w:pPr>
            <w:r>
              <w:t xml:space="preserve">39% believe they can use the legal system [LSC 2022]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0.15–0.35</w:t>
            </w:r>
          </w:p>
        </w:tc>
        <w:tc>
          <w:tcPr/>
          <w:p>
            <w:pPr>
              <w:pStyle w:val="Compact"/>
            </w:pPr>
            <w:r>
              <w:t xml:space="preserve">General legal confidence; not algorithm-specific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Resource Barriers (L3)</w:t>
            </w:r>
          </w:p>
        </w:tc>
        <w:tc>
          <w:tcPr/>
          <w:p>
            <w:pPr>
              <w:pStyle w:val="Compact"/>
            </w:pPr>
            <w:r>
              <w:t xml:space="preserve">Civil legal</w:t>
            </w:r>
          </w:p>
        </w:tc>
        <w:tc>
          <w:tcPr/>
          <w:p>
            <w:pPr>
              <w:pStyle w:val="Compact"/>
            </w:pPr>
            <w:r>
              <w:t xml:space="preserve">46% cite cost; ~50% of applicants turned away [LSC 2022]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0.30–0.50</w:t>
            </w:r>
          </w:p>
        </w:tc>
        <w:tc>
          <w:tcPr/>
          <w:p>
            <w:pPr>
              <w:pStyle w:val="Compact"/>
            </w:pPr>
            <w:r>
              <w:t xml:space="preserve">Civil legal-aid capacity; not algorithm-specific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Bias in Algorithms (L3)</w:t>
            </w:r>
          </w:p>
        </w:tc>
        <w:tc>
          <w:tcPr/>
          <w:p>
            <w:pPr>
              <w:pStyle w:val="Compact"/>
            </w:pPr>
            <w:r>
              <w:t xml:space="preserve">Healthcare audit</w:t>
            </w:r>
          </w:p>
        </w:tc>
        <w:tc>
          <w:tcPr/>
          <w:p>
            <w:pPr>
              <w:pStyle w:val="Compact"/>
            </w:pPr>
            <w:r>
              <w:t xml:space="preserve">Cost-for-need proxy bias; correcting it raises Black enrollment 17.7%→46.5% [Obermeyer 2019]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0.20–0.40</w:t>
            </w:r>
          </w:p>
        </w:tc>
        <w:tc>
          <w:tcPr/>
          <w:p>
            <w:pPr>
              <w:pStyle w:val="Compact"/>
            </w:pPr>
            <w:r>
              <w:t xml:space="preserve">Single commercial tool / one health system; NOT a population-wide bias rate (a prior</w:t>
            </w:r>
            <w:r>
              <w:t xml:space="preserve"> </w:t>
            </w:r>
            <w:r>
              <w:t xml:space="preserve">“62%”</w:t>
            </w:r>
            <w:r>
              <w:t xml:space="preserve"> </w:t>
            </w:r>
            <w:r>
              <w:t xml:space="preserve">figure was erroneous and is corrected)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G. Robustness to alternative topologies: correlated barriers and repeated attempts (seed 42, n = 100,000).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Baseline P</w:t>
            </w:r>
          </w:p>
        </w:tc>
        <w:tc>
          <w:tcPr/>
          <w:p>
            <w:pPr>
              <w:pStyle w:val="Compact"/>
            </w:pPr>
            <w:r>
              <w:t xml:space="preserve">3-way share</w:t>
            </w:r>
          </w:p>
        </w:tc>
        <w:tc>
          <w:tcPr/>
          <w:p>
            <w:pPr>
              <w:pStyle w:val="Compact"/>
            </w:pPr>
            <w:r>
              <w:t xml:space="preserve">max single-barrier</w:t>
            </w:r>
          </w:p>
        </w:tc>
        <w:tc>
          <w:tcPr/>
          <w:p>
            <w:pPr>
              <w:pStyle w:val="Compact"/>
            </w:pPr>
            <w:r>
              <w:t xml:space="preserve">max single-layer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 (ρ = 0, analytic reference)</w:t>
            </w:r>
          </w:p>
        </w:tc>
        <w:tc>
          <w:tcPr/>
          <w:p>
            <w:pPr>
              <w:pStyle w:val="Compact"/>
            </w:pPr>
            <w:r>
              <w:t xml:space="preserve">0.0018%</w:t>
            </w:r>
          </w:p>
        </w:tc>
        <w:tc>
          <w:tcPr/>
          <w:p>
            <w:pPr>
              <w:pStyle w:val="Compact"/>
            </w:pPr>
            <w:r>
              <w:t xml:space="preserve">87.6%</w:t>
            </w:r>
          </w:p>
        </w:tc>
        <w:tc>
          <w:tcPr/>
          <w:p>
            <w:pPr>
              <w:pStyle w:val="Compact"/>
            </w:pPr>
            <w:r>
              <w:t xml:space="preserve">0.0054%</w:t>
            </w:r>
          </w:p>
        </w:tc>
        <w:tc>
          <w:tcPr/>
          <w:p>
            <w:pPr>
              <w:pStyle w:val="Compact"/>
            </w:pPr>
            <w:r>
              <w:t xml:space="preserve">0.36%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Copula ρ = 0.1</w:t>
            </w:r>
          </w:p>
        </w:tc>
        <w:tc>
          <w:tcPr/>
          <w:p>
            <w:pPr>
              <w:pStyle w:val="Compact"/>
            </w:pPr>
            <w:r>
              <w:t xml:space="preserve">0.049%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0.071%</w:t>
            </w:r>
          </w:p>
        </w:tc>
        <w:tc>
          <w:tcPr/>
          <w:p>
            <w:pPr>
              <w:pStyle w:val="Compact"/>
            </w:pPr>
            <w:r>
              <w:t xml:space="preserve">0.97%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Copula ρ = 0.2</w:t>
            </w:r>
          </w:p>
        </w:tc>
        <w:tc>
          <w:tcPr/>
          <w:p>
            <w:pPr>
              <w:pStyle w:val="Compact"/>
            </w:pPr>
            <w:r>
              <w:t xml:space="preserve">0.288%</w:t>
            </w:r>
          </w:p>
        </w:tc>
        <w:tc>
          <w:tcPr/>
          <w:p>
            <w:pPr>
              <w:pStyle w:val="Compact"/>
            </w:pPr>
            <w:r>
              <w:t xml:space="preserve">81.9%</w:t>
            </w:r>
          </w:p>
        </w:tc>
        <w:tc>
          <w:tcPr/>
          <w:p>
            <w:pPr>
              <w:pStyle w:val="Compact"/>
            </w:pPr>
            <w:r>
              <w:t xml:space="preserve">0.185%</w:t>
            </w:r>
          </w:p>
        </w:tc>
        <w:tc>
          <w:tcPr/>
          <w:p>
            <w:pPr>
              <w:pStyle w:val="Compact"/>
            </w:pPr>
            <w:r>
              <w:t xml:space="preserve">1.85%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Copula ρ = 0.3</w:t>
            </w:r>
          </w:p>
        </w:tc>
        <w:tc>
          <w:tcPr/>
          <w:p>
            <w:pPr>
              <w:pStyle w:val="Compact"/>
            </w:pPr>
            <w:r>
              <w:t xml:space="preserve">0.835%</w:t>
            </w:r>
          </w:p>
        </w:tc>
        <w:tc>
          <w:tcPr/>
          <w:p>
            <w:pPr>
              <w:pStyle w:val="Compact"/>
            </w:pPr>
            <w:r>
              <w:t xml:space="preserve">79.9%</w:t>
            </w:r>
          </w:p>
        </w:tc>
        <w:tc>
          <w:tcPr/>
          <w:p>
            <w:pPr>
              <w:pStyle w:val="Compact"/>
            </w:pPr>
            <w:r>
              <w:t xml:space="preserve">0.376%</w:t>
            </w:r>
          </w:p>
        </w:tc>
        <w:tc>
          <w:tcPr/>
          <w:p>
            <w:pPr>
              <w:pStyle w:val="Compact"/>
            </w:pPr>
            <w:r>
              <w:t xml:space="preserve">2.74%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Copula ρ = 0.4</w:t>
            </w:r>
          </w:p>
        </w:tc>
        <w:tc>
          <w:tcPr/>
          <w:p>
            <w:pPr>
              <w:pStyle w:val="Compact"/>
            </w:pPr>
            <w:r>
              <w:t xml:space="preserve">1.778%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  <w:tc>
          <w:tcPr/>
          <w:p>
            <w:pPr>
              <w:pStyle w:val="Compact"/>
            </w:pPr>
            <w:r>
              <w:t xml:space="preserve">0.606%</w:t>
            </w:r>
          </w:p>
        </w:tc>
        <w:tc>
          <w:tcPr/>
          <w:p>
            <w:pPr>
              <w:pStyle w:val="Compact"/>
            </w:pPr>
            <w:r>
              <w:t xml:space="preserve">3.71%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Copula ρ = 0.5</w:t>
            </w:r>
          </w:p>
        </w:tc>
        <w:tc>
          <w:tcPr/>
          <w:p>
            <w:pPr>
              <w:pStyle w:val="Compact"/>
            </w:pPr>
            <w:r>
              <w:t xml:space="preserve">3.200%</w:t>
            </w:r>
          </w:p>
        </w:tc>
        <w:tc>
          <w:tcPr/>
          <w:p>
            <w:pPr>
              <w:pStyle w:val="Compact"/>
            </w:pPr>
            <w:r>
              <w:t xml:space="preserve">77.4%</w:t>
            </w:r>
          </w:p>
        </w:tc>
        <w:tc>
          <w:tcPr/>
          <w:p>
            <w:pPr>
              <w:pStyle w:val="Compact"/>
            </w:pPr>
            <w:r>
              <w:t xml:space="preserve">0.821%</w:t>
            </w:r>
          </w:p>
        </w:tc>
        <w:tc>
          <w:tcPr/>
          <w:p>
            <w:pPr>
              <w:pStyle w:val="Compact"/>
            </w:pPr>
            <w:r>
              <w:t xml:space="preserve">4.50%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copula ρ = 0.5</w:t>
            </w:r>
          </w:p>
        </w:tc>
        <w:tc>
          <w:tcPr/>
          <w:p>
            <w:pPr>
              <w:pStyle w:val="Compact"/>
            </w:pPr>
            <w:r>
              <w:t xml:space="preserve">0.151%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  <w:tc>
          <w:tcPr/>
          <w:p>
            <w:pPr>
              <w:pStyle w:val="Compact"/>
            </w:pPr>
            <w:r>
              <w:t xml:space="preserve">0.142%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attempts m = 2</w:t>
            </w:r>
          </w:p>
        </w:tc>
        <w:tc>
          <w:tcPr/>
          <w:p>
            <w:pPr>
              <w:pStyle w:val="Compact"/>
            </w:pPr>
            <w:r>
              <w:t xml:space="preserve">0.352%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0.452%</w:t>
            </w:r>
          </w:p>
        </w:tc>
        <w:tc>
          <w:tcPr/>
          <w:p>
            <w:pPr>
              <w:pStyle w:val="Compact"/>
            </w:pPr>
            <w:r>
              <w:t xml:space="preserve">5.70%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attempts m = 3</w:t>
            </w:r>
          </w:p>
        </w:tc>
        <w:tc>
          <w:tcPr/>
          <w:p>
            <w:pPr>
              <w:pStyle w:val="Compact"/>
            </w:pPr>
            <w:r>
              <w:t xml:space="preserve">3.651%</w:t>
            </w:r>
          </w:p>
        </w:tc>
        <w:tc>
          <w:tcPr/>
          <w:p>
            <w:pPr>
              <w:pStyle w:val="Compact"/>
            </w:pPr>
            <w:r>
              <w:t xml:space="preserve">25.2%</w:t>
            </w:r>
          </w:p>
        </w:tc>
        <w:tc>
          <w:tcPr/>
          <w:p>
            <w:pPr>
              <w:pStyle w:val="Compact"/>
            </w:pPr>
            <w:r>
              <w:t xml:space="preserve">2.665%</w:t>
            </w:r>
          </w:p>
        </w:tc>
        <w:tc>
          <w:tcPr/>
          <w:p>
            <w:pPr>
              <w:pStyle w:val="Compact"/>
            </w:pPr>
            <w:r>
              <w:t xml:space="preserve">16.88%</w:t>
            </w:r>
          </w:p>
        </w:tc>
      </w:tr>
    </w:tbl>
    <w:p>
      <w:pPr>
        <w:pStyle w:val="BodyText"/>
      </w:pPr>
      <w:r>
        <w:t xml:space="preserve">Under correlation the comparative conclusion holds (single-layer ≪ coordinated) while the baseline value is correlation-sensitive; under repeated attempts interaction dominance attenuates, delimiting the model’s domain of validity to approximately single-pass serial recourse. ρ denotes the latent Gaussian-copula correlation parameter, not the post-thresholding Bernoulli correlation. The ρ = 0 row reports exact analytic values; the Monte-Carlo estimate at ρ = 0 is noise-limited (~2 successes per 10^5 draws) and appears in the repository CSV, so the low-ρ rows (ρ ≤ 0.15) carry visible Monte-Carlo error.</w:t>
      </w:r>
    </w:p>
    <w:p>
      <w:pPr>
        <w:pStyle w:val="BodyText"/>
      </w:pPr>
      <w:r>
        <w:drawing>
          <wp:inline>
            <wp:extent cx="4533900" cy="30179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acdmbpmax/PycharmProjects/algorithmic-bias-epidemiology-academic/manuscript/figures/shapley_attribu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17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A. Shapley value attribution of barrier contributions.</w:t>
      </w:r>
      <w:r>
        <w:t xml:space="preserve"> </w:t>
      </w:r>
      <w:r>
        <w:t xml:space="preserve">Shapley value decomposition assigning relative contribution of each barrier to overall system success while accounting for all possible barrier removal orderings. Barriers are coloured by layer: green = Data Integration, blue = Data Accuracy, red = Institutional. Values represent fair attribution of total achievable improvement, with the five highest-contributing barriers spanning all three layers, consistent with the cross-layer nature of the modeled dynamics.</w:t>
      </w:r>
    </w:p>
    <w:p>
      <w:pPr>
        <w:pStyle w:val="BodyText"/>
      </w:pPr>
      <w:r>
        <w:drawing>
          <wp:inline>
            <wp:extent cx="4533900" cy="19376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acdmbpmax/PycharmProjects/algorithmic-bias-epidemiology-academic/manuscript/figures/layer_effect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3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B. Effect of layer removal on system success probability.</w:t>
      </w:r>
      <w:r>
        <w:t xml:space="preserve"> </w:t>
      </w:r>
      <w:r>
        <w:t xml:space="preserve">Only complete removal across all three layers yields substantial improvement (100%). Single-layer removal produces negligible effects; two-layer combinations yield at most 7.4% (Data Accuracy + Institutional), consistent with the model’s three-way interaction structure.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2026-09-05T12:26:24Z</dcterms:created>
  <dcterms:modified xsi:type="dcterms:W3CDTF">2026-09-05T12:26:24Z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