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Jaccard Similarity Results for Lexical Homogenization</w:t>
      </w:r>
    </w:p>
    <w:p>
      <w:pPr>
        <w:jc w:val="center"/>
      </w:pPr>
      <w:r>
        <w:rPr>
          <w:rFonts w:ascii="Times New Roman" w:hAnsi="Times New Roman" w:eastAsia="Times New Roman"/>
          <w:i/>
          <w:sz w:val="22"/>
        </w:rPr>
        <w:t>Based on 100 learner-generated error units and three LLM revision outputs</w:t>
      </w:r>
    </w:p>
    <w:p>
      <w:pPr>
        <w:spacing w:line="276" w:lineRule="auto"/>
        <w:ind w:firstLine="360"/>
      </w:pPr>
      <w:r>
        <w:rPr>
          <w:rFonts w:ascii="Times New Roman" w:hAnsi="Times New Roman"/>
        </w:rPr>
        <w:t xml:space="preserve">This document reports the Jaccard Similarity results used to measure lexical homogenization in the LLM-generated revisions. </w:t>
      </w:r>
      <w:r>
        <w:rPr>
          <w:rFonts w:ascii="Times New Roman" w:hAnsi="Times New Roman"/>
        </w:rPr>
        <w:t xml:space="preserve">Jaccard Similarity was calculated as the proportion of shared lexical tokens between two model outputs relative to the union of their lexical tokens: J(A, B) = |A ∩ B| / |A ∪ B|. </w:t>
      </w:r>
      <w:r>
        <w:rPr>
          <w:rFonts w:ascii="Times New Roman" w:hAnsi="Times New Roman"/>
        </w:rPr>
        <w:t>Higher values indicate stronger overlap in surface wording, while lower values indicate greater lexical variation across model revisions.</w:t>
      </w:r>
    </w:p>
    <w:p>
      <w:pPr>
        <w:jc w:val="left"/>
      </w:pPr>
      <w:r>
        <w:rPr>
          <w:rFonts w:ascii="Times New Roman" w:hAnsi="Times New Roman" w:eastAsia="Times New Roman"/>
          <w:b/>
          <w:sz w:val="22"/>
        </w:rPr>
        <w:t>Table 1. Overall Lexical Homogenization Based on Jaccard Similarity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4896"/>
            <w:vAlign w:val="center"/>
            <w:shd w:fill="4F81BD"/>
          </w:tcPr>
          <w:p>
            <w:pPr>
              <w:jc w:val="center"/>
            </w:pPr>
            <w:r/>
            <w:r>
              <w:rPr>
                <w:rFonts w:ascii="Times New Roman" w:hAnsi="Times New Roman" w:eastAsia="Times New Roman"/>
                <w:b/>
                <w:color w:val="FFFFFF"/>
                <w:sz w:val="20"/>
              </w:rPr>
              <w:t>Metric</w:t>
            </w:r>
          </w:p>
        </w:tc>
        <w:tc>
          <w:tcPr>
            <w:tcW w:type="dxa" w:w="1152"/>
            <w:vAlign w:val="center"/>
            <w:shd w:fill="4F81BD"/>
          </w:tcPr>
          <w:p>
            <w:pPr>
              <w:jc w:val="center"/>
            </w:pPr>
            <w:r/>
            <w:r>
              <w:rPr>
                <w:rFonts w:ascii="Times New Roman" w:hAnsi="Times New Roman" w:eastAsia="Times New Roman"/>
                <w:b/>
                <w:color w:val="FFFFFF"/>
                <w:sz w:val="20"/>
              </w:rPr>
              <w:t>Mean</w:t>
            </w:r>
          </w:p>
        </w:tc>
        <w:tc>
          <w:tcPr>
            <w:tcW w:type="dxa" w:w="1152"/>
            <w:vAlign w:val="center"/>
            <w:shd w:fill="4F81BD"/>
          </w:tcPr>
          <w:p>
            <w:pPr>
              <w:jc w:val="center"/>
            </w:pPr>
            <w:r/>
            <w:r>
              <w:rPr>
                <w:rFonts w:ascii="Times New Roman" w:hAnsi="Times New Roman" w:eastAsia="Times New Roman"/>
                <w:b/>
                <w:color w:val="FFFFFF"/>
                <w:sz w:val="20"/>
              </w:rPr>
              <w:t>SD</w:t>
            </w:r>
          </w:p>
        </w:tc>
        <w:tc>
          <w:tcPr>
            <w:tcW w:type="dxa" w:w="1152"/>
            <w:vAlign w:val="center"/>
            <w:shd w:fill="4F81BD"/>
          </w:tcPr>
          <w:p>
            <w:pPr>
              <w:jc w:val="center"/>
            </w:pPr>
            <w:r/>
            <w:r>
              <w:rPr>
                <w:rFonts w:ascii="Times New Roman" w:hAnsi="Times New Roman" w:eastAsia="Times New Roman"/>
                <w:b/>
                <w:color w:val="FFFFFF"/>
                <w:sz w:val="20"/>
              </w:rPr>
              <w:t>Min</w:t>
            </w:r>
          </w:p>
        </w:tc>
        <w:tc>
          <w:tcPr>
            <w:tcW w:type="dxa" w:w="1152"/>
            <w:vAlign w:val="center"/>
            <w:shd w:fill="4F81BD"/>
          </w:tcPr>
          <w:p>
            <w:pPr>
              <w:jc w:val="center"/>
            </w:pPr>
            <w:r/>
            <w:r>
              <w:rPr>
                <w:rFonts w:ascii="Times New Roman" w:hAnsi="Times New Roman" w:eastAsia="Times New Roman"/>
                <w:b/>
                <w:color w:val="FFFFFF"/>
                <w:sz w:val="20"/>
              </w:rPr>
              <w:t>Max</w:t>
            </w:r>
          </w:p>
        </w:tc>
      </w:tr>
      <w:tr>
        <w:tc>
          <w:tcPr>
            <w:tcW w:type="dxa" w:w="4896"/>
            <w:vAlign w:val="center"/>
          </w:tcPr>
          <w:p>
            <w:pPr>
              <w:jc w:val="center"/>
            </w:pPr>
            <w:r/>
            <w:r>
              <w:rPr>
                <w:rFonts w:ascii="Times New Roman" w:hAnsi="Times New Roman" w:eastAsia="Times New Roman"/>
                <w:b w:val="0"/>
                <w:sz w:val="20"/>
              </w:rPr>
              <w:t>Lexical Homogenization: Jaccard Similarity</w:t>
            </w:r>
          </w:p>
        </w:tc>
        <w:tc>
          <w:tcPr>
            <w:tcW w:type="dxa" w:w="1152"/>
            <w:vAlign w:val="center"/>
          </w:tcPr>
          <w:p>
            <w:pPr>
              <w:jc w:val="center"/>
            </w:pPr>
            <w:r/>
            <w:r>
              <w:rPr>
                <w:rFonts w:ascii="Times New Roman" w:hAnsi="Times New Roman" w:eastAsia="Times New Roman"/>
                <w:b w:val="0"/>
                <w:sz w:val="20"/>
              </w:rPr>
              <w:t>0.636</w:t>
            </w:r>
          </w:p>
        </w:tc>
        <w:tc>
          <w:tcPr>
            <w:tcW w:type="dxa" w:w="1152"/>
            <w:vAlign w:val="center"/>
          </w:tcPr>
          <w:p>
            <w:pPr>
              <w:jc w:val="center"/>
            </w:pPr>
            <w:r/>
            <w:r>
              <w:rPr>
                <w:rFonts w:ascii="Times New Roman" w:hAnsi="Times New Roman" w:eastAsia="Times New Roman"/>
                <w:b w:val="0"/>
                <w:sz w:val="20"/>
              </w:rPr>
              <w:t>0.158</w:t>
            </w:r>
          </w:p>
        </w:tc>
        <w:tc>
          <w:tcPr>
            <w:tcW w:type="dxa" w:w="1152"/>
            <w:vAlign w:val="center"/>
          </w:tcPr>
          <w:p>
            <w:pPr>
              <w:jc w:val="center"/>
            </w:pPr>
            <w:r/>
            <w:r>
              <w:rPr>
                <w:rFonts w:ascii="Times New Roman" w:hAnsi="Times New Roman" w:eastAsia="Times New Roman"/>
                <w:b w:val="0"/>
                <w:sz w:val="20"/>
              </w:rPr>
              <w:t>0.313</w:t>
            </w:r>
          </w:p>
        </w:tc>
        <w:tc>
          <w:tcPr>
            <w:tcW w:type="dxa" w:w="1152"/>
            <w:vAlign w:val="center"/>
          </w:tcPr>
          <w:p>
            <w:pPr>
              <w:jc w:val="center"/>
            </w:pPr>
            <w:r/>
            <w:r>
              <w:rPr>
                <w:rFonts w:ascii="Times New Roman" w:hAnsi="Times New Roman" w:eastAsia="Times New Roman"/>
                <w:b w:val="0"/>
                <w:sz w:val="20"/>
              </w:rPr>
              <w:t>1.000</w:t>
            </w:r>
          </w:p>
        </w:tc>
      </w:tr>
    </w:tbl>
    <w:p/>
    <w:p>
      <w:pPr>
        <w:spacing w:line="276" w:lineRule="auto"/>
        <w:ind w:firstLine="360"/>
      </w:pPr>
      <w:r>
        <w:rPr>
          <w:rFonts w:ascii="Times New Roman" w:hAnsi="Times New Roman"/>
        </w:rPr>
        <w:t xml:space="preserve">The overall mean Jaccard Similarity was </w:t>
      </w:r>
      <w:r>
        <w:rPr>
          <w:rFonts w:ascii="Times New Roman" w:hAnsi="Times New Roman"/>
          <w:b/>
        </w:rPr>
        <w:t>0.636</w:t>
      </w:r>
      <w:r>
        <w:rPr>
          <w:rFonts w:ascii="Times New Roman" w:hAnsi="Times New Roman"/>
        </w:rPr>
        <w:t xml:space="preserve"> (SD = 0.158), with values ranging from 0.313 to 1.000. This suggests a moderate degree of lexical homogenization across the three LLMs: their revisions often shared overlapping wording, but the overlap was not complete.</w:t>
      </w:r>
    </w:p>
    <w:p>
      <w:pPr>
        <w:jc w:val="left"/>
      </w:pPr>
      <w:r>
        <w:rPr>
          <w:rFonts w:ascii="Times New Roman" w:hAnsi="Times New Roman" w:eastAsia="Times New Roman"/>
          <w:b/>
          <w:sz w:val="22"/>
        </w:rPr>
        <w:t>Table 2. Pairwise Jaccard Similarity between LLM Revision Outputs</w:t>
      </w:r>
    </w:p>
    <w:tbl>
      <w:tblPr>
        <w:tblStyle w:val="TableGrid"/>
        <w:tblW w:type="auto" w:w="0"/>
        <w:jc w:val="center"/>
        <w:tblLook w:firstColumn="1" w:firstRow="1" w:lastColumn="0" w:lastRow="0" w:noHBand="0" w:noVBand="1" w:val="04A0"/>
      </w:tblPr>
      <w:tblGrid>
        <w:gridCol w:w="3264"/>
        <w:gridCol w:w="3264"/>
        <w:gridCol w:w="3264"/>
      </w:tblGrid>
      <w:tr>
        <w:tc>
          <w:tcPr>
            <w:tcW w:type="dxa" w:w="5472"/>
            <w:vAlign w:val="center"/>
            <w:shd w:fill="4F81BD"/>
          </w:tcPr>
          <w:p>
            <w:pPr>
              <w:jc w:val="center"/>
            </w:pPr>
            <w:r/>
            <w:r>
              <w:rPr>
                <w:rFonts w:ascii="Times New Roman" w:hAnsi="Times New Roman" w:eastAsia="Times New Roman"/>
                <w:b/>
                <w:color w:val="FFFFFF"/>
                <w:sz w:val="20"/>
              </w:rPr>
              <w:t>Model Pair</w:t>
            </w:r>
          </w:p>
        </w:tc>
        <w:tc>
          <w:tcPr>
            <w:tcW w:type="dxa" w:w="1584"/>
            <w:vAlign w:val="center"/>
            <w:shd w:fill="4F81BD"/>
          </w:tcPr>
          <w:p>
            <w:pPr>
              <w:jc w:val="center"/>
            </w:pPr>
            <w:r/>
            <w:r>
              <w:rPr>
                <w:rFonts w:ascii="Times New Roman" w:hAnsi="Times New Roman" w:eastAsia="Times New Roman"/>
                <w:b/>
                <w:color w:val="FFFFFF"/>
                <w:sz w:val="20"/>
              </w:rPr>
              <w:t>Mean Jaccard</w:t>
            </w:r>
          </w:p>
        </w:tc>
        <w:tc>
          <w:tcPr>
            <w:tcW w:type="dxa" w:w="1584"/>
            <w:vAlign w:val="center"/>
            <w:shd w:fill="4F81BD"/>
          </w:tcPr>
          <w:p>
            <w:pPr>
              <w:jc w:val="center"/>
            </w:pPr>
            <w:r/>
            <w:r>
              <w:rPr>
                <w:rFonts w:ascii="Times New Roman" w:hAnsi="Times New Roman" w:eastAsia="Times New Roman"/>
                <w:b/>
                <w:color w:val="FFFFFF"/>
                <w:sz w:val="20"/>
              </w:rPr>
              <w:t>SD</w:t>
            </w:r>
          </w:p>
        </w:tc>
      </w:tr>
      <w:tr>
        <w:tc>
          <w:tcPr>
            <w:tcW w:type="dxa" w:w="5472"/>
            <w:vAlign w:val="center"/>
          </w:tcPr>
          <w:p>
            <w:pPr>
              <w:jc w:val="center"/>
            </w:pPr>
            <w:r/>
            <w:r>
              <w:rPr>
                <w:rFonts w:ascii="Times New Roman" w:hAnsi="Times New Roman" w:eastAsia="Times New Roman"/>
                <w:b w:val="0"/>
                <w:sz w:val="20"/>
              </w:rPr>
              <w:t>GPT-4o-mini vs DeepSeek-V3</w:t>
            </w:r>
          </w:p>
        </w:tc>
        <w:tc>
          <w:tcPr>
            <w:tcW w:type="dxa" w:w="1584"/>
            <w:vAlign w:val="center"/>
          </w:tcPr>
          <w:p>
            <w:pPr>
              <w:jc w:val="center"/>
            </w:pPr>
            <w:r/>
            <w:r>
              <w:rPr>
                <w:rFonts w:ascii="Times New Roman" w:hAnsi="Times New Roman" w:eastAsia="Times New Roman"/>
                <w:b w:val="0"/>
                <w:sz w:val="20"/>
              </w:rPr>
              <w:t>0.722</w:t>
            </w:r>
          </w:p>
        </w:tc>
        <w:tc>
          <w:tcPr>
            <w:tcW w:type="dxa" w:w="1584"/>
            <w:vAlign w:val="center"/>
          </w:tcPr>
          <w:p>
            <w:pPr>
              <w:jc w:val="center"/>
            </w:pPr>
            <w:r/>
            <w:r>
              <w:rPr>
                <w:rFonts w:ascii="Times New Roman" w:hAnsi="Times New Roman" w:eastAsia="Times New Roman"/>
                <w:b w:val="0"/>
                <w:sz w:val="20"/>
              </w:rPr>
              <w:t>0.195</w:t>
            </w:r>
          </w:p>
        </w:tc>
      </w:tr>
      <w:tr>
        <w:tc>
          <w:tcPr>
            <w:tcW w:type="dxa" w:w="5472"/>
            <w:vAlign w:val="center"/>
          </w:tcPr>
          <w:p>
            <w:pPr>
              <w:jc w:val="center"/>
            </w:pPr>
            <w:r/>
            <w:r>
              <w:rPr>
                <w:rFonts w:ascii="Times New Roman" w:hAnsi="Times New Roman" w:eastAsia="Times New Roman"/>
                <w:b w:val="0"/>
                <w:sz w:val="20"/>
              </w:rPr>
              <w:t>GPT-4o-mini vs Gemini Flash</w:t>
            </w:r>
          </w:p>
        </w:tc>
        <w:tc>
          <w:tcPr>
            <w:tcW w:type="dxa" w:w="1584"/>
            <w:vAlign w:val="center"/>
          </w:tcPr>
          <w:p>
            <w:pPr>
              <w:jc w:val="center"/>
            </w:pPr>
            <w:r/>
            <w:r>
              <w:rPr>
                <w:rFonts w:ascii="Times New Roman" w:hAnsi="Times New Roman" w:eastAsia="Times New Roman"/>
                <w:b w:val="0"/>
                <w:sz w:val="20"/>
              </w:rPr>
              <w:t>0.593</w:t>
            </w:r>
          </w:p>
        </w:tc>
        <w:tc>
          <w:tcPr>
            <w:tcW w:type="dxa" w:w="1584"/>
            <w:vAlign w:val="center"/>
          </w:tcPr>
          <w:p>
            <w:pPr>
              <w:jc w:val="center"/>
            </w:pPr>
            <w:r/>
            <w:r>
              <w:rPr>
                <w:rFonts w:ascii="Times New Roman" w:hAnsi="Times New Roman" w:eastAsia="Times New Roman"/>
                <w:b w:val="0"/>
                <w:sz w:val="20"/>
              </w:rPr>
              <w:t>0.202</w:t>
            </w:r>
          </w:p>
        </w:tc>
      </w:tr>
      <w:tr>
        <w:tc>
          <w:tcPr>
            <w:tcW w:type="dxa" w:w="5472"/>
            <w:vAlign w:val="center"/>
          </w:tcPr>
          <w:p>
            <w:pPr>
              <w:jc w:val="center"/>
            </w:pPr>
            <w:r/>
            <w:r>
              <w:rPr>
                <w:rFonts w:ascii="Times New Roman" w:hAnsi="Times New Roman" w:eastAsia="Times New Roman"/>
                <w:b w:val="0"/>
                <w:sz w:val="20"/>
              </w:rPr>
              <w:t>DeepSeek-V3 vs Gemini Flash</w:t>
            </w:r>
          </w:p>
        </w:tc>
        <w:tc>
          <w:tcPr>
            <w:tcW w:type="dxa" w:w="1584"/>
            <w:vAlign w:val="center"/>
          </w:tcPr>
          <w:p>
            <w:pPr>
              <w:jc w:val="center"/>
            </w:pPr>
            <w:r/>
            <w:r>
              <w:rPr>
                <w:rFonts w:ascii="Times New Roman" w:hAnsi="Times New Roman" w:eastAsia="Times New Roman"/>
                <w:b w:val="0"/>
                <w:sz w:val="20"/>
              </w:rPr>
              <w:t>0.594</w:t>
            </w:r>
          </w:p>
        </w:tc>
        <w:tc>
          <w:tcPr>
            <w:tcW w:type="dxa" w:w="1584"/>
            <w:vAlign w:val="center"/>
          </w:tcPr>
          <w:p>
            <w:pPr>
              <w:jc w:val="center"/>
            </w:pPr>
            <w:r/>
            <w:r>
              <w:rPr>
                <w:rFonts w:ascii="Times New Roman" w:hAnsi="Times New Roman" w:eastAsia="Times New Roman"/>
                <w:b w:val="0"/>
                <w:sz w:val="20"/>
              </w:rPr>
              <w:t>0.195</w:t>
            </w:r>
          </w:p>
        </w:tc>
      </w:tr>
    </w:tbl>
    <w:p/>
    <w:p>
      <w:pPr>
        <w:spacing w:line="276" w:lineRule="auto"/>
        <w:ind w:firstLine="360"/>
      </w:pPr>
      <w:r>
        <w:rPr>
          <w:rFonts w:ascii="Times New Roman" w:hAnsi="Times New Roman"/>
        </w:rPr>
        <w:t xml:space="preserve">At the pairwise level, GPT-4o-mini and DeepSeek-V3 showed the highest lexical overlap (Mean Jaccard = </w:t>
      </w:r>
      <w:r>
        <w:rPr>
          <w:rFonts w:ascii="Times New Roman" w:hAnsi="Times New Roman"/>
          <w:b/>
        </w:rPr>
        <w:t>0.722</w:t>
      </w:r>
      <w:r>
        <w:rPr>
          <w:rFonts w:ascii="Times New Roman" w:hAnsi="Times New Roman"/>
        </w:rPr>
        <w:t>). The two pairs involving Gemini Flash showed lower and very similar lexical overlap, indicating that Gemini Flash tended to produce surface forms that were less lexically aligned with the other two models.</w:t>
      </w:r>
    </w:p>
    <w:p>
      <w:pPr>
        <w:jc w:val="left"/>
      </w:pPr>
      <w:r>
        <w:rPr>
          <w:rFonts w:ascii="Times New Roman" w:hAnsi="Times New Roman" w:eastAsia="Times New Roman"/>
          <w:b/>
          <w:sz w:val="22"/>
        </w:rPr>
        <w:t>Table 3. Jaccard Similarity by Error Type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176"/>
            <w:vAlign w:val="center"/>
            <w:shd w:fill="4F81BD"/>
          </w:tcPr>
          <w:p>
            <w:pPr>
              <w:jc w:val="center"/>
            </w:pPr>
            <w:r/>
            <w:r>
              <w:rPr>
                <w:rFonts w:ascii="Times New Roman" w:hAnsi="Times New Roman" w:eastAsia="Times New Roman"/>
                <w:b/>
                <w:color w:val="FFFFFF"/>
                <w:sz w:val="20"/>
              </w:rPr>
              <w:t>Error Type</w:t>
            </w:r>
          </w:p>
        </w:tc>
        <w:tc>
          <w:tcPr>
            <w:tcW w:type="dxa" w:w="720"/>
            <w:vAlign w:val="center"/>
            <w:shd w:fill="4F81BD"/>
          </w:tcPr>
          <w:p>
            <w:pPr>
              <w:jc w:val="center"/>
            </w:pPr>
            <w:r/>
            <w:r>
              <w:rPr>
                <w:rFonts w:ascii="Times New Roman" w:hAnsi="Times New Roman" w:eastAsia="Times New Roman"/>
                <w:b/>
                <w:color w:val="FFFFFF"/>
                <w:sz w:val="20"/>
              </w:rPr>
              <w:t>N</w:t>
            </w:r>
          </w:p>
        </w:tc>
        <w:tc>
          <w:tcPr>
            <w:tcW w:type="dxa" w:w="1368"/>
            <w:vAlign w:val="center"/>
            <w:shd w:fill="4F81BD"/>
          </w:tcPr>
          <w:p>
            <w:pPr>
              <w:jc w:val="center"/>
            </w:pPr>
            <w:r/>
            <w:r>
              <w:rPr>
                <w:rFonts w:ascii="Times New Roman" w:hAnsi="Times New Roman" w:eastAsia="Times New Roman"/>
                <w:b/>
                <w:color w:val="FFFFFF"/>
                <w:sz w:val="20"/>
              </w:rPr>
              <w:t>Mean Jaccard</w:t>
            </w:r>
          </w:p>
        </w:tc>
        <w:tc>
          <w:tcPr>
            <w:tcW w:type="dxa" w:w="1008"/>
            <w:vAlign w:val="center"/>
            <w:shd w:fill="4F81BD"/>
          </w:tcPr>
          <w:p>
            <w:pPr>
              <w:jc w:val="center"/>
            </w:pPr>
            <w:r/>
            <w:r>
              <w:rPr>
                <w:rFonts w:ascii="Times New Roman" w:hAnsi="Times New Roman" w:eastAsia="Times New Roman"/>
                <w:b/>
                <w:color w:val="FFFFFF"/>
                <w:sz w:val="20"/>
              </w:rPr>
              <w:t>SD</w:t>
            </w:r>
          </w:p>
        </w:tc>
        <w:tc>
          <w:tcPr>
            <w:tcW w:type="dxa" w:w="1008"/>
            <w:vAlign w:val="center"/>
            <w:shd w:fill="4F81BD"/>
          </w:tcPr>
          <w:p>
            <w:pPr>
              <w:jc w:val="center"/>
            </w:pPr>
            <w:r/>
            <w:r>
              <w:rPr>
                <w:rFonts w:ascii="Times New Roman" w:hAnsi="Times New Roman" w:eastAsia="Times New Roman"/>
                <w:b/>
                <w:color w:val="FFFFFF"/>
                <w:sz w:val="20"/>
              </w:rPr>
              <w:t>Min</w:t>
            </w:r>
          </w:p>
        </w:tc>
        <w:tc>
          <w:tcPr>
            <w:tcW w:type="dxa" w:w="1008"/>
            <w:vAlign w:val="center"/>
            <w:shd w:fill="4F81BD"/>
          </w:tcPr>
          <w:p>
            <w:pPr>
              <w:jc w:val="center"/>
            </w:pPr>
            <w:r/>
            <w:r>
              <w:rPr>
                <w:rFonts w:ascii="Times New Roman" w:hAnsi="Times New Roman" w:eastAsia="Times New Roman"/>
                <w:b/>
                <w:color w:val="FFFFFF"/>
                <w:sz w:val="20"/>
              </w:rPr>
              <w:t>Max</w:t>
            </w:r>
          </w:p>
        </w:tc>
      </w:tr>
      <w:tr>
        <w:tc>
          <w:tcPr>
            <w:tcW w:type="dxa" w:w="4176"/>
            <w:vAlign w:val="center"/>
          </w:tcPr>
          <w:p>
            <w:pPr>
              <w:jc w:val="center"/>
            </w:pPr>
            <w:r/>
            <w:r>
              <w:rPr>
                <w:rFonts w:ascii="Times New Roman" w:hAnsi="Times New Roman" w:eastAsia="Times New Roman"/>
                <w:b w:val="0"/>
                <w:sz w:val="20"/>
              </w:rPr>
              <w:t>grammar-related error</w:t>
            </w:r>
          </w:p>
        </w:tc>
        <w:tc>
          <w:tcPr>
            <w:tcW w:type="dxa" w:w="720"/>
            <w:vAlign w:val="center"/>
          </w:tcPr>
          <w:p>
            <w:pPr>
              <w:jc w:val="center"/>
            </w:pPr>
            <w:r/>
            <w:r>
              <w:rPr>
                <w:rFonts w:ascii="Times New Roman" w:hAnsi="Times New Roman" w:eastAsia="Times New Roman"/>
                <w:b w:val="0"/>
                <w:sz w:val="20"/>
              </w:rPr>
              <w:t>38</w:t>
            </w:r>
          </w:p>
        </w:tc>
        <w:tc>
          <w:tcPr>
            <w:tcW w:type="dxa" w:w="1368"/>
            <w:vAlign w:val="center"/>
          </w:tcPr>
          <w:p>
            <w:pPr>
              <w:jc w:val="center"/>
            </w:pPr>
            <w:r/>
            <w:r>
              <w:rPr>
                <w:rFonts w:ascii="Times New Roman" w:hAnsi="Times New Roman" w:eastAsia="Times New Roman"/>
                <w:b w:val="0"/>
                <w:sz w:val="20"/>
              </w:rPr>
              <w:t>0.687</w:t>
            </w:r>
          </w:p>
        </w:tc>
        <w:tc>
          <w:tcPr>
            <w:tcW w:type="dxa" w:w="1008"/>
            <w:vAlign w:val="center"/>
          </w:tcPr>
          <w:p>
            <w:pPr>
              <w:jc w:val="center"/>
            </w:pPr>
            <w:r/>
            <w:r>
              <w:rPr>
                <w:rFonts w:ascii="Times New Roman" w:hAnsi="Times New Roman" w:eastAsia="Times New Roman"/>
                <w:b w:val="0"/>
                <w:sz w:val="20"/>
              </w:rPr>
              <w:t>0.174</w:t>
            </w:r>
          </w:p>
        </w:tc>
        <w:tc>
          <w:tcPr>
            <w:tcW w:type="dxa" w:w="1008"/>
            <w:vAlign w:val="center"/>
          </w:tcPr>
          <w:p>
            <w:pPr>
              <w:jc w:val="center"/>
            </w:pPr>
            <w:r/>
            <w:r>
              <w:rPr>
                <w:rFonts w:ascii="Times New Roman" w:hAnsi="Times New Roman" w:eastAsia="Times New Roman"/>
                <w:b w:val="0"/>
                <w:sz w:val="20"/>
              </w:rPr>
              <w:t>0.389</w:t>
            </w:r>
          </w:p>
        </w:tc>
        <w:tc>
          <w:tcPr>
            <w:tcW w:type="dxa" w:w="1008"/>
            <w:vAlign w:val="center"/>
          </w:tcPr>
          <w:p>
            <w:pPr>
              <w:jc w:val="center"/>
            </w:pPr>
            <w:r/>
            <w:r>
              <w:rPr>
                <w:rFonts w:ascii="Times New Roman" w:hAnsi="Times New Roman" w:eastAsia="Times New Roman"/>
                <w:b w:val="0"/>
                <w:sz w:val="20"/>
              </w:rPr>
              <w:t>1.000</w:t>
            </w:r>
          </w:p>
        </w:tc>
      </w:tr>
      <w:tr>
        <w:tc>
          <w:tcPr>
            <w:tcW w:type="dxa" w:w="4176"/>
            <w:vAlign w:val="center"/>
          </w:tcPr>
          <w:p>
            <w:pPr>
              <w:jc w:val="center"/>
            </w:pPr>
            <w:r/>
            <w:r>
              <w:rPr>
                <w:rFonts w:ascii="Times New Roman" w:hAnsi="Times New Roman" w:eastAsia="Times New Roman"/>
                <w:b w:val="0"/>
                <w:sz w:val="20"/>
              </w:rPr>
              <w:t>collocation problem</w:t>
            </w:r>
          </w:p>
        </w:tc>
        <w:tc>
          <w:tcPr>
            <w:tcW w:type="dxa" w:w="720"/>
            <w:vAlign w:val="center"/>
          </w:tcPr>
          <w:p>
            <w:pPr>
              <w:jc w:val="center"/>
            </w:pPr>
            <w:r/>
            <w:r>
              <w:rPr>
                <w:rFonts w:ascii="Times New Roman" w:hAnsi="Times New Roman" w:eastAsia="Times New Roman"/>
                <w:b w:val="0"/>
                <w:sz w:val="20"/>
              </w:rPr>
              <w:t>8</w:t>
            </w:r>
          </w:p>
        </w:tc>
        <w:tc>
          <w:tcPr>
            <w:tcW w:type="dxa" w:w="1368"/>
            <w:vAlign w:val="center"/>
          </w:tcPr>
          <w:p>
            <w:pPr>
              <w:jc w:val="center"/>
            </w:pPr>
            <w:r/>
            <w:r>
              <w:rPr>
                <w:rFonts w:ascii="Times New Roman" w:hAnsi="Times New Roman" w:eastAsia="Times New Roman"/>
                <w:b w:val="0"/>
                <w:sz w:val="20"/>
              </w:rPr>
              <w:t>0.650</w:t>
            </w:r>
          </w:p>
        </w:tc>
        <w:tc>
          <w:tcPr>
            <w:tcW w:type="dxa" w:w="1008"/>
            <w:vAlign w:val="center"/>
          </w:tcPr>
          <w:p>
            <w:pPr>
              <w:jc w:val="center"/>
            </w:pPr>
            <w:r/>
            <w:r>
              <w:rPr>
                <w:rFonts w:ascii="Times New Roman" w:hAnsi="Times New Roman" w:eastAsia="Times New Roman"/>
                <w:b w:val="0"/>
                <w:sz w:val="20"/>
              </w:rPr>
              <w:t>0.170</w:t>
            </w:r>
          </w:p>
        </w:tc>
        <w:tc>
          <w:tcPr>
            <w:tcW w:type="dxa" w:w="1008"/>
            <w:vAlign w:val="center"/>
          </w:tcPr>
          <w:p>
            <w:pPr>
              <w:jc w:val="center"/>
            </w:pPr>
            <w:r/>
            <w:r>
              <w:rPr>
                <w:rFonts w:ascii="Times New Roman" w:hAnsi="Times New Roman" w:eastAsia="Times New Roman"/>
                <w:b w:val="0"/>
                <w:sz w:val="20"/>
              </w:rPr>
              <w:t>0.459</w:t>
            </w:r>
          </w:p>
        </w:tc>
        <w:tc>
          <w:tcPr>
            <w:tcW w:type="dxa" w:w="1008"/>
            <w:vAlign w:val="center"/>
          </w:tcPr>
          <w:p>
            <w:pPr>
              <w:jc w:val="center"/>
            </w:pPr>
            <w:r/>
            <w:r>
              <w:rPr>
                <w:rFonts w:ascii="Times New Roman" w:hAnsi="Times New Roman" w:eastAsia="Times New Roman"/>
                <w:b w:val="0"/>
                <w:sz w:val="20"/>
              </w:rPr>
              <w:t>0.949</w:t>
            </w:r>
          </w:p>
        </w:tc>
      </w:tr>
      <w:tr>
        <w:tc>
          <w:tcPr>
            <w:tcW w:type="dxa" w:w="4176"/>
            <w:vAlign w:val="center"/>
          </w:tcPr>
          <w:p>
            <w:pPr>
              <w:jc w:val="center"/>
            </w:pPr>
            <w:r/>
            <w:r>
              <w:rPr>
                <w:rFonts w:ascii="Times New Roman" w:hAnsi="Times New Roman" w:eastAsia="Times New Roman"/>
                <w:b w:val="0"/>
                <w:sz w:val="20"/>
              </w:rPr>
              <w:t>comparison-related error</w:t>
            </w:r>
          </w:p>
        </w:tc>
        <w:tc>
          <w:tcPr>
            <w:tcW w:type="dxa" w:w="720"/>
            <w:vAlign w:val="center"/>
          </w:tcPr>
          <w:p>
            <w:pPr>
              <w:jc w:val="center"/>
            </w:pPr>
            <w:r/>
            <w:r>
              <w:rPr>
                <w:rFonts w:ascii="Times New Roman" w:hAnsi="Times New Roman" w:eastAsia="Times New Roman"/>
                <w:b w:val="0"/>
                <w:sz w:val="20"/>
              </w:rPr>
              <w:t>7</w:t>
            </w:r>
          </w:p>
        </w:tc>
        <w:tc>
          <w:tcPr>
            <w:tcW w:type="dxa" w:w="1368"/>
            <w:vAlign w:val="center"/>
          </w:tcPr>
          <w:p>
            <w:pPr>
              <w:jc w:val="center"/>
            </w:pPr>
            <w:r/>
            <w:r>
              <w:rPr>
                <w:rFonts w:ascii="Times New Roman" w:hAnsi="Times New Roman" w:eastAsia="Times New Roman"/>
                <w:b w:val="0"/>
                <w:sz w:val="20"/>
              </w:rPr>
              <w:t>0.637</w:t>
            </w:r>
          </w:p>
        </w:tc>
        <w:tc>
          <w:tcPr>
            <w:tcW w:type="dxa" w:w="1008"/>
            <w:vAlign w:val="center"/>
          </w:tcPr>
          <w:p>
            <w:pPr>
              <w:jc w:val="center"/>
            </w:pPr>
            <w:r/>
            <w:r>
              <w:rPr>
                <w:rFonts w:ascii="Times New Roman" w:hAnsi="Times New Roman" w:eastAsia="Times New Roman"/>
                <w:b w:val="0"/>
                <w:sz w:val="20"/>
              </w:rPr>
              <w:t>0.193</w:t>
            </w:r>
          </w:p>
        </w:tc>
        <w:tc>
          <w:tcPr>
            <w:tcW w:type="dxa" w:w="1008"/>
            <w:vAlign w:val="center"/>
          </w:tcPr>
          <w:p>
            <w:pPr>
              <w:jc w:val="center"/>
            </w:pPr>
            <w:r/>
            <w:r>
              <w:rPr>
                <w:rFonts w:ascii="Times New Roman" w:hAnsi="Times New Roman" w:eastAsia="Times New Roman"/>
                <w:b w:val="0"/>
                <w:sz w:val="20"/>
              </w:rPr>
              <w:t>0.398</w:t>
            </w:r>
          </w:p>
        </w:tc>
        <w:tc>
          <w:tcPr>
            <w:tcW w:type="dxa" w:w="1008"/>
            <w:vAlign w:val="center"/>
          </w:tcPr>
          <w:p>
            <w:pPr>
              <w:jc w:val="center"/>
            </w:pPr>
            <w:r/>
            <w:r>
              <w:rPr>
                <w:rFonts w:ascii="Times New Roman" w:hAnsi="Times New Roman" w:eastAsia="Times New Roman"/>
                <w:b w:val="0"/>
                <w:sz w:val="20"/>
              </w:rPr>
              <w:t>1.000</w:t>
            </w:r>
          </w:p>
        </w:tc>
      </w:tr>
      <w:tr>
        <w:tc>
          <w:tcPr>
            <w:tcW w:type="dxa" w:w="4176"/>
            <w:vAlign w:val="center"/>
          </w:tcPr>
          <w:p>
            <w:pPr>
              <w:jc w:val="center"/>
            </w:pPr>
            <w:r/>
            <w:r>
              <w:rPr>
                <w:rFonts w:ascii="Times New Roman" w:hAnsi="Times New Roman" w:eastAsia="Times New Roman"/>
                <w:b w:val="0"/>
                <w:sz w:val="20"/>
              </w:rPr>
              <w:t>idiomaticity or non-standard expression problem</w:t>
            </w:r>
          </w:p>
        </w:tc>
        <w:tc>
          <w:tcPr>
            <w:tcW w:type="dxa" w:w="720"/>
            <w:vAlign w:val="center"/>
          </w:tcPr>
          <w:p>
            <w:pPr>
              <w:jc w:val="center"/>
            </w:pPr>
            <w:r/>
            <w:r>
              <w:rPr>
                <w:rFonts w:ascii="Times New Roman" w:hAnsi="Times New Roman" w:eastAsia="Times New Roman"/>
                <w:b w:val="0"/>
                <w:sz w:val="20"/>
              </w:rPr>
              <w:t>15</w:t>
            </w:r>
          </w:p>
        </w:tc>
        <w:tc>
          <w:tcPr>
            <w:tcW w:type="dxa" w:w="1368"/>
            <w:vAlign w:val="center"/>
          </w:tcPr>
          <w:p>
            <w:pPr>
              <w:jc w:val="center"/>
            </w:pPr>
            <w:r/>
            <w:r>
              <w:rPr>
                <w:rFonts w:ascii="Times New Roman" w:hAnsi="Times New Roman" w:eastAsia="Times New Roman"/>
                <w:b w:val="0"/>
                <w:sz w:val="20"/>
              </w:rPr>
              <w:t>0.619</w:t>
            </w:r>
          </w:p>
        </w:tc>
        <w:tc>
          <w:tcPr>
            <w:tcW w:type="dxa" w:w="1008"/>
            <w:vAlign w:val="center"/>
          </w:tcPr>
          <w:p>
            <w:pPr>
              <w:jc w:val="center"/>
            </w:pPr>
            <w:r/>
            <w:r>
              <w:rPr>
                <w:rFonts w:ascii="Times New Roman" w:hAnsi="Times New Roman" w:eastAsia="Times New Roman"/>
                <w:b w:val="0"/>
                <w:sz w:val="20"/>
              </w:rPr>
              <w:t>0.144</w:t>
            </w:r>
          </w:p>
        </w:tc>
        <w:tc>
          <w:tcPr>
            <w:tcW w:type="dxa" w:w="1008"/>
            <w:vAlign w:val="center"/>
          </w:tcPr>
          <w:p>
            <w:pPr>
              <w:jc w:val="center"/>
            </w:pPr>
            <w:r/>
            <w:r>
              <w:rPr>
                <w:rFonts w:ascii="Times New Roman" w:hAnsi="Times New Roman" w:eastAsia="Times New Roman"/>
                <w:b w:val="0"/>
                <w:sz w:val="20"/>
              </w:rPr>
              <w:t>0.313</w:t>
            </w:r>
          </w:p>
        </w:tc>
        <w:tc>
          <w:tcPr>
            <w:tcW w:type="dxa" w:w="1008"/>
            <w:vAlign w:val="center"/>
          </w:tcPr>
          <w:p>
            <w:pPr>
              <w:jc w:val="center"/>
            </w:pPr>
            <w:r/>
            <w:r>
              <w:rPr>
                <w:rFonts w:ascii="Times New Roman" w:hAnsi="Times New Roman" w:eastAsia="Times New Roman"/>
                <w:b w:val="0"/>
                <w:sz w:val="20"/>
              </w:rPr>
              <w:t>0.849</w:t>
            </w:r>
          </w:p>
        </w:tc>
      </w:tr>
      <w:tr>
        <w:tc>
          <w:tcPr>
            <w:tcW w:type="dxa" w:w="4176"/>
            <w:vAlign w:val="center"/>
          </w:tcPr>
          <w:p>
            <w:pPr>
              <w:jc w:val="center"/>
            </w:pPr>
            <w:r/>
            <w:r>
              <w:rPr>
                <w:rFonts w:ascii="Times New Roman" w:hAnsi="Times New Roman" w:eastAsia="Times New Roman"/>
                <w:b w:val="0"/>
                <w:sz w:val="20"/>
              </w:rPr>
              <w:t>cohesion problem</w:t>
            </w:r>
          </w:p>
        </w:tc>
        <w:tc>
          <w:tcPr>
            <w:tcW w:type="dxa" w:w="720"/>
            <w:vAlign w:val="center"/>
          </w:tcPr>
          <w:p>
            <w:pPr>
              <w:jc w:val="center"/>
            </w:pPr>
            <w:r/>
            <w:r>
              <w:rPr>
                <w:rFonts w:ascii="Times New Roman" w:hAnsi="Times New Roman" w:eastAsia="Times New Roman"/>
                <w:b w:val="0"/>
                <w:sz w:val="20"/>
              </w:rPr>
              <w:t>7</w:t>
            </w:r>
          </w:p>
        </w:tc>
        <w:tc>
          <w:tcPr>
            <w:tcW w:type="dxa" w:w="1368"/>
            <w:vAlign w:val="center"/>
          </w:tcPr>
          <w:p>
            <w:pPr>
              <w:jc w:val="center"/>
            </w:pPr>
            <w:r/>
            <w:r>
              <w:rPr>
                <w:rFonts w:ascii="Times New Roman" w:hAnsi="Times New Roman" w:eastAsia="Times New Roman"/>
                <w:b w:val="0"/>
                <w:sz w:val="20"/>
              </w:rPr>
              <w:t>0.598</w:t>
            </w:r>
          </w:p>
        </w:tc>
        <w:tc>
          <w:tcPr>
            <w:tcW w:type="dxa" w:w="1008"/>
            <w:vAlign w:val="center"/>
          </w:tcPr>
          <w:p>
            <w:pPr>
              <w:jc w:val="center"/>
            </w:pPr>
            <w:r/>
            <w:r>
              <w:rPr>
                <w:rFonts w:ascii="Times New Roman" w:hAnsi="Times New Roman" w:eastAsia="Times New Roman"/>
                <w:b w:val="0"/>
                <w:sz w:val="20"/>
              </w:rPr>
              <w:t>0.149</w:t>
            </w:r>
          </w:p>
        </w:tc>
        <w:tc>
          <w:tcPr>
            <w:tcW w:type="dxa" w:w="1008"/>
            <w:vAlign w:val="center"/>
          </w:tcPr>
          <w:p>
            <w:pPr>
              <w:jc w:val="center"/>
            </w:pPr>
            <w:r/>
            <w:r>
              <w:rPr>
                <w:rFonts w:ascii="Times New Roman" w:hAnsi="Times New Roman" w:eastAsia="Times New Roman"/>
                <w:b w:val="0"/>
                <w:sz w:val="20"/>
              </w:rPr>
              <w:t>0.480</w:t>
            </w:r>
          </w:p>
        </w:tc>
        <w:tc>
          <w:tcPr>
            <w:tcW w:type="dxa" w:w="1008"/>
            <w:vAlign w:val="center"/>
          </w:tcPr>
          <w:p>
            <w:pPr>
              <w:jc w:val="center"/>
            </w:pPr>
            <w:r/>
            <w:r>
              <w:rPr>
                <w:rFonts w:ascii="Times New Roman" w:hAnsi="Times New Roman" w:eastAsia="Times New Roman"/>
                <w:b w:val="0"/>
                <w:sz w:val="20"/>
              </w:rPr>
              <w:t>0.867</w:t>
            </w:r>
          </w:p>
        </w:tc>
      </w:tr>
      <w:tr>
        <w:tc>
          <w:tcPr>
            <w:tcW w:type="dxa" w:w="4176"/>
            <w:vAlign w:val="center"/>
          </w:tcPr>
          <w:p>
            <w:pPr>
              <w:jc w:val="center"/>
            </w:pPr>
            <w:r/>
            <w:r>
              <w:rPr>
                <w:rFonts w:ascii="Times New Roman" w:hAnsi="Times New Roman" w:eastAsia="Times New Roman"/>
                <w:b w:val="0"/>
                <w:sz w:val="20"/>
              </w:rPr>
              <w:t>lexical choice error</w:t>
            </w:r>
          </w:p>
        </w:tc>
        <w:tc>
          <w:tcPr>
            <w:tcW w:type="dxa" w:w="720"/>
            <w:vAlign w:val="center"/>
          </w:tcPr>
          <w:p>
            <w:pPr>
              <w:jc w:val="center"/>
            </w:pPr>
            <w:r/>
            <w:r>
              <w:rPr>
                <w:rFonts w:ascii="Times New Roman" w:hAnsi="Times New Roman" w:eastAsia="Times New Roman"/>
                <w:b w:val="0"/>
                <w:sz w:val="20"/>
              </w:rPr>
              <w:t>8</w:t>
            </w:r>
          </w:p>
        </w:tc>
        <w:tc>
          <w:tcPr>
            <w:tcW w:type="dxa" w:w="1368"/>
            <w:vAlign w:val="center"/>
          </w:tcPr>
          <w:p>
            <w:pPr>
              <w:jc w:val="center"/>
            </w:pPr>
            <w:r/>
            <w:r>
              <w:rPr>
                <w:rFonts w:ascii="Times New Roman" w:hAnsi="Times New Roman" w:eastAsia="Times New Roman"/>
                <w:b w:val="0"/>
                <w:sz w:val="20"/>
              </w:rPr>
              <w:t>0.583</w:t>
            </w:r>
          </w:p>
        </w:tc>
        <w:tc>
          <w:tcPr>
            <w:tcW w:type="dxa" w:w="1008"/>
            <w:vAlign w:val="center"/>
          </w:tcPr>
          <w:p>
            <w:pPr>
              <w:jc w:val="center"/>
            </w:pPr>
            <w:r/>
            <w:r>
              <w:rPr>
                <w:rFonts w:ascii="Times New Roman" w:hAnsi="Times New Roman" w:eastAsia="Times New Roman"/>
                <w:b w:val="0"/>
                <w:sz w:val="20"/>
              </w:rPr>
              <w:t>0.128</w:t>
            </w:r>
          </w:p>
        </w:tc>
        <w:tc>
          <w:tcPr>
            <w:tcW w:type="dxa" w:w="1008"/>
            <w:vAlign w:val="center"/>
          </w:tcPr>
          <w:p>
            <w:pPr>
              <w:jc w:val="center"/>
            </w:pPr>
            <w:r/>
            <w:r>
              <w:rPr>
                <w:rFonts w:ascii="Times New Roman" w:hAnsi="Times New Roman" w:eastAsia="Times New Roman"/>
                <w:b w:val="0"/>
                <w:sz w:val="20"/>
              </w:rPr>
              <w:t>0.454</w:t>
            </w:r>
          </w:p>
        </w:tc>
        <w:tc>
          <w:tcPr>
            <w:tcW w:type="dxa" w:w="1008"/>
            <w:vAlign w:val="center"/>
          </w:tcPr>
          <w:p>
            <w:pPr>
              <w:jc w:val="center"/>
            </w:pPr>
            <w:r/>
            <w:r>
              <w:rPr>
                <w:rFonts w:ascii="Times New Roman" w:hAnsi="Times New Roman" w:eastAsia="Times New Roman"/>
                <w:b w:val="0"/>
                <w:sz w:val="20"/>
              </w:rPr>
              <w:t>0.833</w:t>
            </w:r>
          </w:p>
        </w:tc>
      </w:tr>
      <w:tr>
        <w:tc>
          <w:tcPr>
            <w:tcW w:type="dxa" w:w="4176"/>
            <w:vAlign w:val="center"/>
          </w:tcPr>
          <w:p>
            <w:pPr>
              <w:jc w:val="center"/>
            </w:pPr>
            <w:r/>
            <w:r>
              <w:rPr>
                <w:rFonts w:ascii="Times New Roman" w:hAnsi="Times New Roman" w:eastAsia="Times New Roman"/>
                <w:b w:val="0"/>
                <w:sz w:val="20"/>
              </w:rPr>
              <w:t>data description error</w:t>
            </w:r>
          </w:p>
        </w:tc>
        <w:tc>
          <w:tcPr>
            <w:tcW w:type="dxa" w:w="720"/>
            <w:vAlign w:val="center"/>
          </w:tcPr>
          <w:p>
            <w:pPr>
              <w:jc w:val="center"/>
            </w:pPr>
            <w:r/>
            <w:r>
              <w:rPr>
                <w:rFonts w:ascii="Times New Roman" w:hAnsi="Times New Roman" w:eastAsia="Times New Roman"/>
                <w:b w:val="0"/>
                <w:sz w:val="20"/>
              </w:rPr>
              <w:t>17</w:t>
            </w:r>
          </w:p>
        </w:tc>
        <w:tc>
          <w:tcPr>
            <w:tcW w:type="dxa" w:w="1368"/>
            <w:vAlign w:val="center"/>
          </w:tcPr>
          <w:p>
            <w:pPr>
              <w:jc w:val="center"/>
            </w:pPr>
            <w:r/>
            <w:r>
              <w:rPr>
                <w:rFonts w:ascii="Times New Roman" w:hAnsi="Times New Roman" w:eastAsia="Times New Roman"/>
                <w:b w:val="0"/>
                <w:sz w:val="20"/>
              </w:rPr>
              <w:t>0.572</w:t>
            </w:r>
          </w:p>
        </w:tc>
        <w:tc>
          <w:tcPr>
            <w:tcW w:type="dxa" w:w="1008"/>
            <w:vAlign w:val="center"/>
          </w:tcPr>
          <w:p>
            <w:pPr>
              <w:jc w:val="center"/>
            </w:pPr>
            <w:r/>
            <w:r>
              <w:rPr>
                <w:rFonts w:ascii="Times New Roman" w:hAnsi="Times New Roman" w:eastAsia="Times New Roman"/>
                <w:b w:val="0"/>
                <w:sz w:val="20"/>
              </w:rPr>
              <w:t>0.105</w:t>
            </w:r>
          </w:p>
        </w:tc>
        <w:tc>
          <w:tcPr>
            <w:tcW w:type="dxa" w:w="1008"/>
            <w:vAlign w:val="center"/>
          </w:tcPr>
          <w:p>
            <w:pPr>
              <w:jc w:val="center"/>
            </w:pPr>
            <w:r/>
            <w:r>
              <w:rPr>
                <w:rFonts w:ascii="Times New Roman" w:hAnsi="Times New Roman" w:eastAsia="Times New Roman"/>
                <w:b w:val="0"/>
                <w:sz w:val="20"/>
              </w:rPr>
              <w:t>0.383</w:t>
            </w:r>
          </w:p>
        </w:tc>
        <w:tc>
          <w:tcPr>
            <w:tcW w:type="dxa" w:w="1008"/>
            <w:vAlign w:val="center"/>
          </w:tcPr>
          <w:p>
            <w:pPr>
              <w:jc w:val="center"/>
            </w:pPr>
            <w:r/>
            <w:r>
              <w:rPr>
                <w:rFonts w:ascii="Times New Roman" w:hAnsi="Times New Roman" w:eastAsia="Times New Roman"/>
                <w:b w:val="0"/>
                <w:sz w:val="20"/>
              </w:rPr>
              <w:t>0.727</w:t>
            </w:r>
          </w:p>
        </w:tc>
      </w:tr>
    </w:tbl>
    <w:p/>
    <w:p>
      <w:pPr>
        <w:spacing w:line="276" w:lineRule="auto"/>
        <w:ind w:firstLine="360"/>
      </w:pPr>
      <w:r>
        <w:rPr>
          <w:rFonts w:ascii="Times New Roman" w:hAnsi="Times New Roman"/>
        </w:rPr>
        <w:t xml:space="preserve">Across error types, grammar-related errors produced the highest lexical homogenization (Mean Jaccard = </w:t>
      </w:r>
      <w:r>
        <w:rPr>
          <w:rFonts w:ascii="Times New Roman" w:hAnsi="Times New Roman"/>
          <w:b/>
        </w:rPr>
        <w:t>0.687</w:t>
      </w:r>
      <w:r>
        <w:rPr>
          <w:rFonts w:ascii="Times New Roman" w:hAnsi="Times New Roman"/>
        </w:rPr>
        <w:t>), suggesting that different models often selected similar surface corrections for grammatical problems. In contrast, data description errors and lexical choice errors showed relatively lower mean Jaccard values, indicating that these error types allowed more variation in wording and reformulation.</w:t>
      </w:r>
    </w:p>
    <w:p>
      <w:pPr>
        <w:jc w:val="left"/>
      </w:pPr>
      <w:r>
        <w:rPr>
          <w:rFonts w:ascii="Times New Roman" w:hAnsi="Times New Roman" w:eastAsia="Times New Roman"/>
          <w:b/>
          <w:sz w:val="22"/>
        </w:rPr>
        <w:t>Table 4. Jaccard Similarity by Writing Task Type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752"/>
            <w:vAlign w:val="center"/>
            <w:shd w:fill="4F81BD"/>
          </w:tcPr>
          <w:p>
            <w:pPr>
              <w:jc w:val="center"/>
            </w:pPr>
            <w:r/>
            <w:r>
              <w:rPr>
                <w:rFonts w:ascii="Times New Roman" w:hAnsi="Times New Roman" w:eastAsia="Times New Roman"/>
                <w:b/>
                <w:color w:val="FFFFFF"/>
                <w:sz w:val="20"/>
              </w:rPr>
              <w:t>Writing Task Type</w:t>
            </w:r>
          </w:p>
        </w:tc>
        <w:tc>
          <w:tcPr>
            <w:tcW w:type="dxa" w:w="720"/>
            <w:vAlign w:val="center"/>
            <w:shd w:fill="4F81BD"/>
          </w:tcPr>
          <w:p>
            <w:pPr>
              <w:jc w:val="center"/>
            </w:pPr>
            <w:r/>
            <w:r>
              <w:rPr>
                <w:rFonts w:ascii="Times New Roman" w:hAnsi="Times New Roman" w:eastAsia="Times New Roman"/>
                <w:b/>
                <w:color w:val="FFFFFF"/>
                <w:sz w:val="20"/>
              </w:rPr>
              <w:t>N</w:t>
            </w:r>
          </w:p>
        </w:tc>
        <w:tc>
          <w:tcPr>
            <w:tcW w:type="dxa" w:w="1296"/>
            <w:vAlign w:val="center"/>
            <w:shd w:fill="4F81BD"/>
          </w:tcPr>
          <w:p>
            <w:pPr>
              <w:jc w:val="center"/>
            </w:pPr>
            <w:r/>
            <w:r>
              <w:rPr>
                <w:rFonts w:ascii="Times New Roman" w:hAnsi="Times New Roman" w:eastAsia="Times New Roman"/>
                <w:b/>
                <w:color w:val="FFFFFF"/>
                <w:sz w:val="20"/>
              </w:rPr>
              <w:t>Mean Jaccard</w:t>
            </w:r>
          </w:p>
        </w:tc>
        <w:tc>
          <w:tcPr>
            <w:tcW w:type="dxa" w:w="1008"/>
            <w:vAlign w:val="center"/>
            <w:shd w:fill="4F81BD"/>
          </w:tcPr>
          <w:p>
            <w:pPr>
              <w:jc w:val="center"/>
            </w:pPr>
            <w:r/>
            <w:r>
              <w:rPr>
                <w:rFonts w:ascii="Times New Roman" w:hAnsi="Times New Roman" w:eastAsia="Times New Roman"/>
                <w:b/>
                <w:color w:val="FFFFFF"/>
                <w:sz w:val="20"/>
              </w:rPr>
              <w:t>SD</w:t>
            </w:r>
          </w:p>
        </w:tc>
        <w:tc>
          <w:tcPr>
            <w:tcW w:type="dxa" w:w="1008"/>
            <w:vAlign w:val="center"/>
            <w:shd w:fill="4F81BD"/>
          </w:tcPr>
          <w:p>
            <w:pPr>
              <w:jc w:val="center"/>
            </w:pPr>
            <w:r/>
            <w:r>
              <w:rPr>
                <w:rFonts w:ascii="Times New Roman" w:hAnsi="Times New Roman" w:eastAsia="Times New Roman"/>
                <w:b/>
                <w:color w:val="FFFFFF"/>
                <w:sz w:val="20"/>
              </w:rPr>
              <w:t>Min</w:t>
            </w:r>
          </w:p>
        </w:tc>
        <w:tc>
          <w:tcPr>
            <w:tcW w:type="dxa" w:w="1008"/>
            <w:vAlign w:val="center"/>
            <w:shd w:fill="4F81BD"/>
          </w:tcPr>
          <w:p>
            <w:pPr>
              <w:jc w:val="center"/>
            </w:pPr>
            <w:r/>
            <w:r>
              <w:rPr>
                <w:rFonts w:ascii="Times New Roman" w:hAnsi="Times New Roman" w:eastAsia="Times New Roman"/>
                <w:b/>
                <w:color w:val="FFFFFF"/>
                <w:sz w:val="20"/>
              </w:rPr>
              <w:t>Max</w:t>
            </w:r>
          </w:p>
        </w:tc>
      </w:tr>
      <w:tr>
        <w:tc>
          <w:tcPr>
            <w:tcW w:type="dxa" w:w="4752"/>
            <w:vAlign w:val="center"/>
          </w:tcPr>
          <w:p>
            <w:pPr>
              <w:jc w:val="center"/>
            </w:pPr>
            <w:r/>
            <w:r>
              <w:rPr>
                <w:rFonts w:ascii="Times New Roman" w:hAnsi="Times New Roman" w:eastAsia="Times New Roman"/>
                <w:b w:val="0"/>
                <w:sz w:val="20"/>
              </w:rPr>
              <w:t>IELTS Task 1 line-graph description: ageing population</w:t>
            </w:r>
          </w:p>
        </w:tc>
        <w:tc>
          <w:tcPr>
            <w:tcW w:type="dxa" w:w="720"/>
            <w:vAlign w:val="center"/>
          </w:tcPr>
          <w:p>
            <w:pPr>
              <w:jc w:val="center"/>
            </w:pPr>
            <w:r/>
            <w:r>
              <w:rPr>
                <w:rFonts w:ascii="Times New Roman" w:hAnsi="Times New Roman" w:eastAsia="Times New Roman"/>
                <w:b w:val="0"/>
                <w:sz w:val="20"/>
              </w:rPr>
              <w:t>10</w:t>
            </w:r>
          </w:p>
        </w:tc>
        <w:tc>
          <w:tcPr>
            <w:tcW w:type="dxa" w:w="1296"/>
            <w:vAlign w:val="center"/>
          </w:tcPr>
          <w:p>
            <w:pPr>
              <w:jc w:val="center"/>
            </w:pPr>
            <w:r/>
            <w:r>
              <w:rPr>
                <w:rFonts w:ascii="Times New Roman" w:hAnsi="Times New Roman" w:eastAsia="Times New Roman"/>
                <w:b w:val="0"/>
                <w:sz w:val="20"/>
              </w:rPr>
              <w:t>0.758</w:t>
            </w:r>
          </w:p>
        </w:tc>
        <w:tc>
          <w:tcPr>
            <w:tcW w:type="dxa" w:w="1008"/>
            <w:vAlign w:val="center"/>
          </w:tcPr>
          <w:p>
            <w:pPr>
              <w:jc w:val="center"/>
            </w:pPr>
            <w:r/>
            <w:r>
              <w:rPr>
                <w:rFonts w:ascii="Times New Roman" w:hAnsi="Times New Roman" w:eastAsia="Times New Roman"/>
                <w:b w:val="0"/>
                <w:sz w:val="20"/>
              </w:rPr>
              <w:t>0.151</w:t>
            </w:r>
          </w:p>
        </w:tc>
        <w:tc>
          <w:tcPr>
            <w:tcW w:type="dxa" w:w="1008"/>
            <w:vAlign w:val="center"/>
          </w:tcPr>
          <w:p>
            <w:pPr>
              <w:jc w:val="center"/>
            </w:pPr>
            <w:r/>
            <w:r>
              <w:rPr>
                <w:rFonts w:ascii="Times New Roman" w:hAnsi="Times New Roman" w:eastAsia="Times New Roman"/>
                <w:b w:val="0"/>
                <w:sz w:val="20"/>
              </w:rPr>
              <w:t>0.470</w:t>
            </w:r>
          </w:p>
        </w:tc>
        <w:tc>
          <w:tcPr>
            <w:tcW w:type="dxa" w:w="1008"/>
            <w:vAlign w:val="center"/>
          </w:tcPr>
          <w:p>
            <w:pPr>
              <w:jc w:val="center"/>
            </w:pPr>
            <w:r/>
            <w:r>
              <w:rPr>
                <w:rFonts w:ascii="Times New Roman" w:hAnsi="Times New Roman" w:eastAsia="Times New Roman"/>
                <w:b w:val="0"/>
                <w:sz w:val="20"/>
              </w:rPr>
              <w:t>0.939</w:t>
            </w:r>
          </w:p>
        </w:tc>
      </w:tr>
      <w:tr>
        <w:tc>
          <w:tcPr>
            <w:tcW w:type="dxa" w:w="4752"/>
            <w:vAlign w:val="center"/>
          </w:tcPr>
          <w:p>
            <w:pPr>
              <w:jc w:val="center"/>
            </w:pPr>
            <w:r/>
            <w:r>
              <w:rPr>
                <w:rFonts w:ascii="Times New Roman" w:hAnsi="Times New Roman" w:eastAsia="Times New Roman"/>
                <w:b w:val="0"/>
                <w:sz w:val="20"/>
              </w:rPr>
              <w:t>map/plan description</w:t>
            </w:r>
          </w:p>
        </w:tc>
        <w:tc>
          <w:tcPr>
            <w:tcW w:type="dxa" w:w="720"/>
            <w:vAlign w:val="center"/>
          </w:tcPr>
          <w:p>
            <w:pPr>
              <w:jc w:val="center"/>
            </w:pPr>
            <w:r/>
            <w:r>
              <w:rPr>
                <w:rFonts w:ascii="Times New Roman" w:hAnsi="Times New Roman" w:eastAsia="Times New Roman"/>
                <w:b w:val="0"/>
                <w:sz w:val="20"/>
              </w:rPr>
              <w:t>16</w:t>
            </w:r>
          </w:p>
        </w:tc>
        <w:tc>
          <w:tcPr>
            <w:tcW w:type="dxa" w:w="1296"/>
            <w:vAlign w:val="center"/>
          </w:tcPr>
          <w:p>
            <w:pPr>
              <w:jc w:val="center"/>
            </w:pPr>
            <w:r/>
            <w:r>
              <w:rPr>
                <w:rFonts w:ascii="Times New Roman" w:hAnsi="Times New Roman" w:eastAsia="Times New Roman"/>
                <w:b w:val="0"/>
                <w:sz w:val="20"/>
              </w:rPr>
              <w:t>0.637</w:t>
            </w:r>
          </w:p>
        </w:tc>
        <w:tc>
          <w:tcPr>
            <w:tcW w:type="dxa" w:w="1008"/>
            <w:vAlign w:val="center"/>
          </w:tcPr>
          <w:p>
            <w:pPr>
              <w:jc w:val="center"/>
            </w:pPr>
            <w:r/>
            <w:r>
              <w:rPr>
                <w:rFonts w:ascii="Times New Roman" w:hAnsi="Times New Roman" w:eastAsia="Times New Roman"/>
                <w:b w:val="0"/>
                <w:sz w:val="20"/>
              </w:rPr>
              <w:t>0.174</w:t>
            </w:r>
          </w:p>
        </w:tc>
        <w:tc>
          <w:tcPr>
            <w:tcW w:type="dxa" w:w="1008"/>
            <w:vAlign w:val="center"/>
          </w:tcPr>
          <w:p>
            <w:pPr>
              <w:jc w:val="center"/>
            </w:pPr>
            <w:r/>
            <w:r>
              <w:rPr>
                <w:rFonts w:ascii="Times New Roman" w:hAnsi="Times New Roman" w:eastAsia="Times New Roman"/>
                <w:b w:val="0"/>
                <w:sz w:val="20"/>
              </w:rPr>
              <w:t>0.422</w:t>
            </w:r>
          </w:p>
        </w:tc>
        <w:tc>
          <w:tcPr>
            <w:tcW w:type="dxa" w:w="1008"/>
            <w:vAlign w:val="center"/>
          </w:tcPr>
          <w:p>
            <w:pPr>
              <w:jc w:val="center"/>
            </w:pPr>
            <w:r/>
            <w:r>
              <w:rPr>
                <w:rFonts w:ascii="Times New Roman" w:hAnsi="Times New Roman" w:eastAsia="Times New Roman"/>
                <w:b w:val="0"/>
                <w:sz w:val="20"/>
              </w:rPr>
              <w:t>0.949</w:t>
            </w:r>
          </w:p>
        </w:tc>
      </w:tr>
      <w:tr>
        <w:tc>
          <w:tcPr>
            <w:tcW w:type="dxa" w:w="4752"/>
            <w:vAlign w:val="center"/>
          </w:tcPr>
          <w:p>
            <w:pPr>
              <w:jc w:val="center"/>
            </w:pPr>
            <w:r/>
            <w:r>
              <w:rPr>
                <w:rFonts w:ascii="Times New Roman" w:hAnsi="Times New Roman" w:eastAsia="Times New Roman"/>
                <w:b w:val="0"/>
                <w:sz w:val="20"/>
              </w:rPr>
              <w:t>IELTS Task 1 chart/line-graph description: Internet users</w:t>
            </w:r>
          </w:p>
        </w:tc>
        <w:tc>
          <w:tcPr>
            <w:tcW w:type="dxa" w:w="720"/>
            <w:vAlign w:val="center"/>
          </w:tcPr>
          <w:p>
            <w:pPr>
              <w:jc w:val="center"/>
            </w:pPr>
            <w:r/>
            <w:r>
              <w:rPr>
                <w:rFonts w:ascii="Times New Roman" w:hAnsi="Times New Roman" w:eastAsia="Times New Roman"/>
                <w:b w:val="0"/>
                <w:sz w:val="20"/>
              </w:rPr>
              <w:t>60</w:t>
            </w:r>
          </w:p>
        </w:tc>
        <w:tc>
          <w:tcPr>
            <w:tcW w:type="dxa" w:w="1296"/>
            <w:vAlign w:val="center"/>
          </w:tcPr>
          <w:p>
            <w:pPr>
              <w:jc w:val="center"/>
            </w:pPr>
            <w:r/>
            <w:r>
              <w:rPr>
                <w:rFonts w:ascii="Times New Roman" w:hAnsi="Times New Roman" w:eastAsia="Times New Roman"/>
                <w:b w:val="0"/>
                <w:sz w:val="20"/>
              </w:rPr>
              <w:t>0.636</w:t>
            </w:r>
          </w:p>
        </w:tc>
        <w:tc>
          <w:tcPr>
            <w:tcW w:type="dxa" w:w="1008"/>
            <w:vAlign w:val="center"/>
          </w:tcPr>
          <w:p>
            <w:pPr>
              <w:jc w:val="center"/>
            </w:pPr>
            <w:r/>
            <w:r>
              <w:rPr>
                <w:rFonts w:ascii="Times New Roman" w:hAnsi="Times New Roman" w:eastAsia="Times New Roman"/>
                <w:b w:val="0"/>
                <w:sz w:val="20"/>
              </w:rPr>
              <w:t>0.149</w:t>
            </w:r>
          </w:p>
        </w:tc>
        <w:tc>
          <w:tcPr>
            <w:tcW w:type="dxa" w:w="1008"/>
            <w:vAlign w:val="center"/>
          </w:tcPr>
          <w:p>
            <w:pPr>
              <w:jc w:val="center"/>
            </w:pPr>
            <w:r/>
            <w:r>
              <w:rPr>
                <w:rFonts w:ascii="Times New Roman" w:hAnsi="Times New Roman" w:eastAsia="Times New Roman"/>
                <w:b w:val="0"/>
                <w:sz w:val="20"/>
              </w:rPr>
              <w:t>0.383</w:t>
            </w:r>
          </w:p>
        </w:tc>
        <w:tc>
          <w:tcPr>
            <w:tcW w:type="dxa" w:w="1008"/>
            <w:vAlign w:val="center"/>
          </w:tcPr>
          <w:p>
            <w:pPr>
              <w:jc w:val="center"/>
            </w:pPr>
            <w:r/>
            <w:r>
              <w:rPr>
                <w:rFonts w:ascii="Times New Roman" w:hAnsi="Times New Roman" w:eastAsia="Times New Roman"/>
                <w:b w:val="0"/>
                <w:sz w:val="20"/>
              </w:rPr>
              <w:t>1.000</w:t>
            </w:r>
          </w:p>
        </w:tc>
      </w:tr>
      <w:tr>
        <w:tc>
          <w:tcPr>
            <w:tcW w:type="dxa" w:w="4752"/>
            <w:vAlign w:val="center"/>
          </w:tcPr>
          <w:p>
            <w:pPr>
              <w:jc w:val="center"/>
            </w:pPr>
            <w:r/>
            <w:r>
              <w:rPr>
                <w:rFonts w:ascii="Times New Roman" w:hAnsi="Times New Roman" w:eastAsia="Times New Roman"/>
                <w:b w:val="0"/>
                <w:sz w:val="20"/>
              </w:rPr>
              <w:t>IELTS Task 1 map/plan description: Porth Harbour</w:t>
            </w:r>
          </w:p>
        </w:tc>
        <w:tc>
          <w:tcPr>
            <w:tcW w:type="dxa" w:w="720"/>
            <w:vAlign w:val="center"/>
          </w:tcPr>
          <w:p>
            <w:pPr>
              <w:jc w:val="center"/>
            </w:pPr>
            <w:r/>
            <w:r>
              <w:rPr>
                <w:rFonts w:ascii="Times New Roman" w:hAnsi="Times New Roman" w:eastAsia="Times New Roman"/>
                <w:b w:val="0"/>
                <w:sz w:val="20"/>
              </w:rPr>
              <w:t>10</w:t>
            </w:r>
          </w:p>
        </w:tc>
        <w:tc>
          <w:tcPr>
            <w:tcW w:type="dxa" w:w="1296"/>
            <w:vAlign w:val="center"/>
          </w:tcPr>
          <w:p>
            <w:pPr>
              <w:jc w:val="center"/>
            </w:pPr>
            <w:r/>
            <w:r>
              <w:rPr>
                <w:rFonts w:ascii="Times New Roman" w:hAnsi="Times New Roman" w:eastAsia="Times New Roman"/>
                <w:b w:val="0"/>
                <w:sz w:val="20"/>
              </w:rPr>
              <w:t>0.563</w:t>
            </w:r>
          </w:p>
        </w:tc>
        <w:tc>
          <w:tcPr>
            <w:tcW w:type="dxa" w:w="1008"/>
            <w:vAlign w:val="center"/>
          </w:tcPr>
          <w:p>
            <w:pPr>
              <w:jc w:val="center"/>
            </w:pPr>
            <w:r/>
            <w:r>
              <w:rPr>
                <w:rFonts w:ascii="Times New Roman" w:hAnsi="Times New Roman" w:eastAsia="Times New Roman"/>
                <w:b w:val="0"/>
                <w:sz w:val="20"/>
              </w:rPr>
              <w:t>0.160</w:t>
            </w:r>
          </w:p>
        </w:tc>
        <w:tc>
          <w:tcPr>
            <w:tcW w:type="dxa" w:w="1008"/>
            <w:vAlign w:val="center"/>
          </w:tcPr>
          <w:p>
            <w:pPr>
              <w:jc w:val="center"/>
            </w:pPr>
            <w:r/>
            <w:r>
              <w:rPr>
                <w:rFonts w:ascii="Times New Roman" w:hAnsi="Times New Roman" w:eastAsia="Times New Roman"/>
                <w:b w:val="0"/>
                <w:sz w:val="20"/>
              </w:rPr>
              <w:t>0.313</w:t>
            </w:r>
          </w:p>
        </w:tc>
        <w:tc>
          <w:tcPr>
            <w:tcW w:type="dxa" w:w="1008"/>
            <w:vAlign w:val="center"/>
          </w:tcPr>
          <w:p>
            <w:pPr>
              <w:jc w:val="center"/>
            </w:pPr>
            <w:r/>
            <w:r>
              <w:rPr>
                <w:rFonts w:ascii="Times New Roman" w:hAnsi="Times New Roman" w:eastAsia="Times New Roman"/>
                <w:b w:val="0"/>
                <w:sz w:val="20"/>
              </w:rPr>
              <w:t>0.802</w:t>
            </w:r>
          </w:p>
        </w:tc>
      </w:tr>
      <w:tr>
        <w:tc>
          <w:tcPr>
            <w:tcW w:type="dxa" w:w="4752"/>
            <w:vAlign w:val="center"/>
          </w:tcPr>
          <w:p>
            <w:pPr>
              <w:jc w:val="center"/>
            </w:pPr>
            <w:r/>
            <w:r>
              <w:rPr>
                <w:rFonts w:ascii="Times New Roman" w:hAnsi="Times New Roman" w:eastAsia="Times New Roman"/>
                <w:b w:val="0"/>
                <w:sz w:val="20"/>
              </w:rPr>
              <w:t>argument writing sentence</w:t>
            </w:r>
          </w:p>
        </w:tc>
        <w:tc>
          <w:tcPr>
            <w:tcW w:type="dxa" w:w="720"/>
            <w:vAlign w:val="center"/>
          </w:tcPr>
          <w:p>
            <w:pPr>
              <w:jc w:val="center"/>
            </w:pPr>
            <w:r/>
            <w:r>
              <w:rPr>
                <w:rFonts w:ascii="Times New Roman" w:hAnsi="Times New Roman" w:eastAsia="Times New Roman"/>
                <w:b w:val="0"/>
                <w:sz w:val="20"/>
              </w:rPr>
              <w:t>4</w:t>
            </w:r>
          </w:p>
        </w:tc>
        <w:tc>
          <w:tcPr>
            <w:tcW w:type="dxa" w:w="1296"/>
            <w:vAlign w:val="center"/>
          </w:tcPr>
          <w:p>
            <w:pPr>
              <w:jc w:val="center"/>
            </w:pPr>
            <w:r/>
            <w:r>
              <w:rPr>
                <w:rFonts w:ascii="Times New Roman" w:hAnsi="Times New Roman" w:eastAsia="Times New Roman"/>
                <w:b w:val="0"/>
                <w:sz w:val="20"/>
              </w:rPr>
              <w:t>0.518</w:t>
            </w:r>
          </w:p>
        </w:tc>
        <w:tc>
          <w:tcPr>
            <w:tcW w:type="dxa" w:w="1008"/>
            <w:vAlign w:val="center"/>
          </w:tcPr>
          <w:p>
            <w:pPr>
              <w:jc w:val="center"/>
            </w:pPr>
            <w:r/>
            <w:r>
              <w:rPr>
                <w:rFonts w:ascii="Times New Roman" w:hAnsi="Times New Roman" w:eastAsia="Times New Roman"/>
                <w:b w:val="0"/>
                <w:sz w:val="20"/>
              </w:rPr>
              <w:t>0.052</w:t>
            </w:r>
          </w:p>
        </w:tc>
        <w:tc>
          <w:tcPr>
            <w:tcW w:type="dxa" w:w="1008"/>
            <w:vAlign w:val="center"/>
          </w:tcPr>
          <w:p>
            <w:pPr>
              <w:jc w:val="center"/>
            </w:pPr>
            <w:r/>
            <w:r>
              <w:rPr>
                <w:rFonts w:ascii="Times New Roman" w:hAnsi="Times New Roman" w:eastAsia="Times New Roman"/>
                <w:b w:val="0"/>
                <w:sz w:val="20"/>
              </w:rPr>
              <w:t>0.459</w:t>
            </w:r>
          </w:p>
        </w:tc>
        <w:tc>
          <w:tcPr>
            <w:tcW w:type="dxa" w:w="1008"/>
            <w:vAlign w:val="center"/>
          </w:tcPr>
          <w:p>
            <w:pPr>
              <w:jc w:val="center"/>
            </w:pPr>
            <w:r/>
            <w:r>
              <w:rPr>
                <w:rFonts w:ascii="Times New Roman" w:hAnsi="Times New Roman" w:eastAsia="Times New Roman"/>
                <w:b w:val="0"/>
                <w:sz w:val="20"/>
              </w:rPr>
              <w:t>0.583</w:t>
            </w:r>
          </w:p>
        </w:tc>
      </w:tr>
    </w:tbl>
    <w:p/>
    <w:p>
      <w:pPr>
        <w:spacing w:line="276" w:lineRule="auto"/>
        <w:ind w:firstLine="360"/>
      </w:pPr>
      <w:r>
        <w:rPr>
          <w:rFonts w:ascii="Times New Roman" w:hAnsi="Times New Roman"/>
        </w:rPr>
        <w:t>By writing task type, the ageing-population line graph produced the highest lexical overlap, whereas the argument-writing sentences produced the lowest lexical overlap. This pattern suggests that more formulaic IELTS Task 1 descriptions may encourage more similar lexical choices across models, while argument-writing sentences allow greater variation in phrasing.</w:t>
      </w:r>
    </w:p>
    <w:p>
      <w:pPr>
        <w:spacing w:line="276" w:lineRule="auto"/>
        <w:ind w:firstLine="360"/>
      </w:pPr>
      <w:r>
        <w:rPr>
          <w:rFonts w:ascii="Times New Roman" w:hAnsi="Times New Roman"/>
        </w:rPr>
        <w:t xml:space="preserve">Only 2 out of 100 error units (2.0%) produced exactly the same revision across all three LLMs. </w:t>
      </w:r>
      <w:r>
        <w:rPr>
          <w:rFonts w:ascii="Times New Roman" w:hAnsi="Times New Roman"/>
        </w:rPr>
        <w:t>Therefore, the observed lexical homogenization should not be interpreted as complete output duplication. Instead, it reflects partial convergence in wording across otherwise distinct revision outputs.</w:t>
      </w:r>
    </w:p>
    <w:p>
      <w:pPr>
        <w:pStyle w:val="Heading1"/>
      </w:pPr>
      <w:r>
        <w:rPr>
          <w:rFonts w:ascii="Times New Roman" w:hAnsi="Times New Roman" w:eastAsia="Times New Roman"/>
        </w:rPr>
        <w:t>Summary</w:t>
      </w:r>
    </w:p>
    <w:p>
      <w:pPr>
        <w:spacing w:line="276" w:lineRule="auto"/>
        <w:ind w:firstLine="360"/>
      </w:pPr>
      <w:r>
        <w:rPr>
          <w:rFonts w:ascii="Times New Roman" w:hAnsi="Times New Roman"/>
        </w:rPr>
        <w:t>Overall, the Jaccard Similarity results indicate a moderate level of lexical homogenization among the three LLMs. The models did not simply generate identical revisions, but they frequently converged on overlapping vocabulary and phrase structures. This lexical convergence was strongest for grammar-related errors and weakest for more open-ended or semantically flexible cases, such as data description and argument-writing sentences.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Jaccard Similarity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