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 1 Threat Model Summary: Secure Mobile-Money Payments API</w:t>
      </w:r>
    </w:p>
    <w:p>
      <w:pPr/>
      <w:r>
        <w:t xml:space="preserve">CSSS 441 Software Security I · Project 1 · Author: Ralph Andy Menz, Level 400, BSc Software Engineering</w:t>
      </w:r>
    </w:p>
    <w:p>
      <w:pPr>
        <w:pStyle w:val="Heading2"/>
      </w:pPr>
      <w:r>
        <w:t xml:space="preserve">Scope</w:t>
      </w:r>
    </w:p>
    <w:p>
      <w:pPr/>
      <w:r>
        <w:t xml:space="preserve">A level-1 data flow diagram, drawn in OWASP Threat Dragon, of a mobile-money-style wallet API. It has 4 external entities (wallet user, merchant, administrator, SMS/email provider), 6 processes (API gateway and authorization layer, auth service, wallet and ledger service, webhook dispatcher, audit logger, admin console), 5 data stores (accounts and credentials DB, ledger DB, Redis session and throttle cache, audit log store, secrets vault) and 19 data flows.</w:t>
      </w:r>
    </w:p>
    <w:p>
      <w:pPr>
        <w:pStyle w:val="Heading2"/>
      </w:pPr>
      <w:r>
        <w:t xml:space="preserve">Trust boundaries</w:t>
      </w:r>
    </w:p>
    <w:p>
      <w:pPr/>
      <w:r>
        <w:t xml:space="preserve">Five boundaries are marked: (1) Internet, covering untrusted clients, merchants and the SMS/email provider; (2) the allow-listed admin network; (3) the application zone; (4) the data zone (PostgreSQL, Redis); (5) the secrets zone (Vault). Twelve of the 19 flows cross a boundary, and each of the twelve has at least one threat recorded against it.</w:t>
      </w:r>
    </w:p>
    <w:p>
      <w:pPr>
        <w:pStyle w:val="Heading2"/>
      </w:pPr>
      <w:r>
        <w:t xml:space="preserve">Method and results</w:t>
      </w:r>
    </w:p>
    <w:p>
      <w:pPr/>
      <w:r>
        <w:t xml:space="preserve">STRIDE-per-element was applied to every external entity, process, data store and flow, giving 27 threats (Spoofing 7, Tampering 7, Repudiation 2, Information disclosure 5, Denial of service 3, Elevation of privilege 3). Each threat is rated Likelihood × Impact on a 1–5 scale: a score of 1–6 is Low, 8–12 Medium and 15–25 High. The result is 9 High, 16 Medium and 2 Low, and every rating carries a one-line reason in the model. The top five are the highest scores, with ties broken by impact.</w:t>
      </w:r>
    </w:p>
    <w:p>
      <w:pPr>
        <w:pStyle w:val="Heading2"/>
      </w:pPr>
      <w:r>
        <w:t xml:space="preserve">Top five threats and their controls</w:t>
      </w:r>
    </w:p>
    <w:tbl>
      <w:tblPr>
        <w:tblStyle w:val="TableGrid"/>
        <w:tblW w:w="0" w:type="auto"/>
        <w:tblLayout w:type="fixed"/>
        <w:tblLook w:val="04A0" w:firstRow="1" w:lastRow="0" w:firstColumn="0" w:lastColumn="0" w:noHBand="0" w:noVBand="1"/>
      </w:tblPr>
      <w:tblGrid>
        <w:gridCol w:w="720"/>
        <w:gridCol w:w="2429"/>
        <w:gridCol w:w="1912"/>
        <w:gridCol w:w="4299"/>
      </w:tblGrid>
      <w:tr>
        <w:trPr>
          <w:tblHeader/>
        </w:trPr>
        <w:tc>
          <w:tcPr>
            <w:tcW w:w="720" w:type="dxa"/>
            <w:shd w:val="clear" w:color="auto" w:fill="F2F2F2"/>
          </w:tcPr>
          <w:p>
            <w:pPr/>
            <w:r>
              <w:t xml:space="preserve">#</w:t>
            </w:r>
          </w:p>
        </w:tc>
        <w:tc>
          <w:tcPr>
            <w:tcW w:w="2429" w:type="dxa"/>
            <w:shd w:val="clear" w:color="auto" w:fill="F2F2F2"/>
          </w:tcPr>
          <w:p>
            <w:pPr/>
            <w:r>
              <w:t xml:space="preserve">Threat (where)</w:t>
            </w:r>
          </w:p>
        </w:tc>
        <w:tc>
          <w:tcPr>
            <w:tcW w:w="1912" w:type="dxa"/>
            <w:shd w:val="clear" w:color="auto" w:fill="F2F2F2"/>
          </w:tcPr>
          <w:p>
            <w:pPr/>
            <w:r>
              <w:t xml:space="preserve">L × I</w:t>
            </w:r>
          </w:p>
        </w:tc>
        <w:tc>
          <w:tcPr>
            <w:tcW w:w="4299" w:type="dxa"/>
            <w:shd w:val="clear" w:color="auto" w:fill="F2F2F2"/>
          </w:tcPr>
          <w:p>
            <w:pPr/>
            <w:r>
              <w:t xml:space="preserve">Control</w:t>
            </w:r>
          </w:p>
        </w:tc>
      </w:tr>
      <w:tr>
        <w:tc>
          <w:tcPr>
            <w:tcW w:w="720" w:type="dxa"/>
          </w:tcPr>
          <w:p>
            <w:pPr/>
            <w:r>
              <w:t xml:space="preserve">1</w:t>
            </w:r>
          </w:p>
        </w:tc>
        <w:tc>
          <w:tcPr>
            <w:tcW w:w="2429" w:type="dxa"/>
          </w:tcPr>
          <w:p>
            <w:pPr/>
            <w:r>
              <w:t xml:space="preserve">T02 Broken object-level authorization on wallet and transaction routes (wallet API flow)</w:t>
            </w:r>
          </w:p>
        </w:tc>
        <w:tc>
          <w:tcPr>
            <w:tcW w:w="1912" w:type="dxa"/>
          </w:tcPr>
          <w:p>
            <w:pPr/>
            <w:r>
              <w:t xml:space="preserve">4 × 5 = 20, High</w:t>
            </w:r>
          </w:p>
        </w:tc>
        <w:tc>
          <w:tcPr>
            <w:tcW w:w="4299" w:type="dxa"/>
          </w:tcPr>
          <w:p>
            <w:pPr/>
            <w:r>
              <w:t xml:space="preserve">Deny-by-default authorization layer: role check plus ownership check on every wallet and transaction route, with one negative test per route in CI</w:t>
            </w:r>
          </w:p>
        </w:tc>
      </w:tr>
      <w:tr>
        <w:tc>
          <w:tcPr>
            <w:tcW w:w="720" w:type="dxa"/>
          </w:tcPr>
          <w:p>
            <w:pPr/>
            <w:r>
              <w:t xml:space="preserve">2</w:t>
            </w:r>
          </w:p>
        </w:tc>
        <w:tc>
          <w:tcPr>
            <w:tcW w:w="2429" w:type="dxa"/>
          </w:tcPr>
          <w:p>
            <w:pPr/>
            <w:r>
              <w:t xml:space="preserve">T14 Account takeover through the recovery channel (recovery message flow)</w:t>
            </w:r>
          </w:p>
        </w:tc>
        <w:tc>
          <w:tcPr>
            <w:tcW w:w="1912" w:type="dxa"/>
          </w:tcPr>
          <w:p>
            <w:pPr/>
            <w:r>
              <w:t xml:space="preserve">4 × 5 = 20, High</w:t>
            </w:r>
          </w:p>
        </w:tc>
        <w:tc>
          <w:tcPr>
            <w:tcW w:w="4299" w:type="dxa"/>
          </w:tcPr>
          <w:p>
            <w:pPr/>
            <w:r>
              <w:t xml:space="preserve">Single-use recovery token stored hashed with a 15-minute expiry; recovery never bypasses MFA; throttled attempts and identical responses for known and unknown accounts</w:t>
            </w:r>
          </w:p>
        </w:tc>
      </w:tr>
      <w:tr>
        <w:tc>
          <w:tcPr>
            <w:tcW w:w="720" w:type="dxa"/>
          </w:tcPr>
          <w:p>
            <w:pPr/>
            <w:r>
              <w:t xml:space="preserve">3</w:t>
            </w:r>
          </w:p>
        </w:tc>
        <w:tc>
          <w:tcPr>
            <w:tcW w:w="2429" w:type="dxa"/>
          </w:tcPr>
          <w:p>
            <w:pPr/>
            <w:r>
              <w:t xml:space="preserve">T01 Credential stuffing and password guessing (auth service)</w:t>
            </w:r>
          </w:p>
        </w:tc>
        <w:tc>
          <w:tcPr>
            <w:tcW w:w="1912" w:type="dxa"/>
          </w:tcPr>
          <w:p>
            <w:pPr/>
            <w:r>
              <w:t xml:space="preserve">5 × 4 = 20, High</w:t>
            </w:r>
          </w:p>
        </w:tc>
        <w:tc>
          <w:tcPr>
            <w:tcW w:w="4299" w:type="dxa"/>
          </w:tcPr>
          <w:p>
            <w:pPr/>
            <w:r>
              <w:t xml:space="preserve">Argon2id hashing, per-account and per-IP throttling, TOTP or passkey second factor, breached-password check</w:t>
            </w:r>
          </w:p>
        </w:tc>
      </w:tr>
      <w:tr>
        <w:tc>
          <w:tcPr>
            <w:tcW w:w="720" w:type="dxa"/>
          </w:tcPr>
          <w:p>
            <w:pPr/>
            <w:r>
              <w:t xml:space="preserve">4</w:t>
            </w:r>
          </w:p>
        </w:tc>
        <w:tc>
          <w:tcPr>
            <w:tcW w:w="2429" w:type="dxa"/>
          </w:tcPr>
          <w:p>
            <w:pPr/>
            <w:r>
              <w:t xml:space="preserve">T07 Retried or concurrent requests cause double payment (ledger service)</w:t>
            </w:r>
          </w:p>
        </w:tc>
        <w:tc>
          <w:tcPr>
            <w:tcW w:w="1912" w:type="dxa"/>
          </w:tcPr>
          <w:p>
            <w:pPr/>
            <w:r>
              <w:t xml:space="preserve">4 × 4 = 16, High</w:t>
            </w:r>
          </w:p>
        </w:tc>
        <w:tc>
          <w:tcPr>
            <w:tcW w:w="4299" w:type="dxa"/>
          </w:tcPr>
          <w:p>
            <w:pPr/>
            <w:r>
              <w:t xml:space="preserve">Mandatory idempotency key with a unique constraint; database transactions with row locks; limits and balance checked inside the same transaction</w:t>
            </w:r>
          </w:p>
        </w:tc>
      </w:tr>
      <w:tr>
        <w:tc>
          <w:tcPr>
            <w:tcW w:w="720" w:type="dxa"/>
          </w:tcPr>
          <w:p>
            <w:pPr/>
            <w:r>
              <w:t xml:space="preserve">5</w:t>
            </w:r>
          </w:p>
        </w:tc>
        <w:tc>
          <w:tcPr>
            <w:tcW w:w="2429" w:type="dxa"/>
          </w:tcPr>
          <w:p>
            <w:pPr/>
            <w:r>
              <w:t xml:space="preserve">T03 Tampered request fields and injection payloads (wallet API flow)</w:t>
            </w:r>
          </w:p>
        </w:tc>
        <w:tc>
          <w:tcPr>
            <w:tcW w:w="1912" w:type="dxa"/>
          </w:tcPr>
          <w:p>
            <w:pPr/>
            <w:r>
              <w:t xml:space="preserve">4 × 4 = 16, High</w:t>
            </w:r>
          </w:p>
        </w:tc>
        <w:tc>
          <w:tcPr>
            <w:tcW w:w="4299" w:type="dxa"/>
          </w:tcPr>
          <w:p>
            <w:pPr/>
            <w:r>
              <w:t xml:space="preserve">Strict request schemas that reject unknown fields (Pydantic/Zod), parameterised queries only, output encoding, Semgrep in CI</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 1 Threat Model Summary Secure Mobile-Money Payments API</dc:title>
  <dc:description>Claude Docs node/3098fdbc-ac50@1 docx-w7</dc:description>
  <cp:revision>1</cp:revision>
</cp:coreProperties>
</file>