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4601" w14:textId="77777777" w:rsidR="00524A57" w:rsidRDefault="00C23C2D">
      <w:pPr>
        <w:spacing w:after="231"/>
        <w:ind w:left="3749" w:firstLine="0"/>
      </w:pPr>
      <w:r>
        <w:rPr>
          <w:noProof/>
        </w:rPr>
        <w:drawing>
          <wp:inline distT="0" distB="0" distL="0" distR="0" wp14:anchorId="2C2D7531" wp14:editId="66F59544">
            <wp:extent cx="1325880" cy="132588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325880" cy="1325880"/>
                    </a:xfrm>
                    <a:prstGeom prst="rect">
                      <a:avLst/>
                    </a:prstGeom>
                  </pic:spPr>
                </pic:pic>
              </a:graphicData>
            </a:graphic>
          </wp:inline>
        </w:drawing>
      </w:r>
    </w:p>
    <w:p w14:paraId="6790826E" w14:textId="77777777" w:rsidR="00524A57" w:rsidRDefault="00C23C2D">
      <w:pPr>
        <w:spacing w:after="0"/>
        <w:ind w:left="0" w:firstLine="0"/>
        <w:jc w:val="center"/>
      </w:pPr>
      <w:proofErr w:type="spellStart"/>
      <w:r>
        <w:rPr>
          <w:b/>
          <w:color w:val="385A72"/>
          <w:sz w:val="46"/>
        </w:rPr>
        <w:t>VidyaSetu</w:t>
      </w:r>
      <w:proofErr w:type="spellEnd"/>
    </w:p>
    <w:p w14:paraId="2DE8AFA5" w14:textId="77777777" w:rsidR="00524A57" w:rsidRDefault="00C23C2D">
      <w:pPr>
        <w:spacing w:after="180"/>
        <w:ind w:left="0" w:firstLine="0"/>
        <w:jc w:val="center"/>
      </w:pPr>
      <w:r>
        <w:rPr>
          <w:color w:val="78909C"/>
          <w:sz w:val="20"/>
        </w:rPr>
        <w:t>Problem Statement &amp; Proposed Solution</w:t>
      </w:r>
    </w:p>
    <w:p w14:paraId="52A7262E" w14:textId="77777777" w:rsidR="00524A57" w:rsidRDefault="00C23C2D">
      <w:pPr>
        <w:spacing w:after="17"/>
        <w:ind w:left="0" w:firstLine="0"/>
        <w:jc w:val="center"/>
      </w:pPr>
      <w:r>
        <w:rPr>
          <w:b/>
          <w:color w:val="547A91"/>
        </w:rPr>
        <w:t>Team Zenith</w:t>
      </w:r>
    </w:p>
    <w:p w14:paraId="7170995C" w14:textId="77777777" w:rsidR="00524A57" w:rsidRDefault="00C23C2D">
      <w:pPr>
        <w:spacing w:after="413"/>
        <w:ind w:left="81" w:firstLine="0"/>
      </w:pPr>
      <w:r>
        <w:rPr>
          <w:b/>
          <w:color w:val="547A91"/>
        </w:rPr>
        <w:t>NISHTHA TIWARI   •   ABHIRAJ PRATAP SINGH   •   NAMAMI TRIVEDI   •   SHRASTI KASHYAP</w:t>
      </w:r>
    </w:p>
    <w:p w14:paraId="07B858C9" w14:textId="77777777" w:rsidR="00524A57" w:rsidRDefault="00C23C2D">
      <w:pPr>
        <w:pStyle w:val="Heading1"/>
        <w:ind w:left="384" w:hanging="399"/>
      </w:pPr>
      <w:r>
        <w:t>Problem Statement</w:t>
      </w:r>
    </w:p>
    <w:p w14:paraId="4632BBF6" w14:textId="77777777" w:rsidR="00524A57" w:rsidRDefault="00C23C2D">
      <w:pPr>
        <w:spacing w:after="140"/>
        <w:ind w:left="-5" w:right="6"/>
      </w:pPr>
      <w:r>
        <w:t>Rural higher-education students often cannot use digital learning consistently because of unreliable internet, high data costs, shared or low-end devices, limited access to laptops, language barriers, inaccessible content, irregular study schedules, and a lack of timely mentoring.</w:t>
      </w:r>
    </w:p>
    <w:p w14:paraId="236194E6" w14:textId="77777777" w:rsidR="00524A57" w:rsidRDefault="00C23C2D">
      <w:pPr>
        <w:spacing w:after="144"/>
        <w:ind w:left="-5" w:right="6"/>
      </w:pPr>
      <w:r>
        <w:t>Many existing online-learning platforms assume continuous connectivity, individual devices, sufficient storage, English proficiency, and strong digital literacy. When these assumptions fail, students miss lessons, cannot stream content, struggle to understand course material, and have limited ways to ask for help.</w:t>
      </w:r>
    </w:p>
    <w:p w14:paraId="719A0ECC" w14:textId="77777777" w:rsidR="00524A57" w:rsidRDefault="00C23C2D">
      <w:pPr>
        <w:pBdr>
          <w:top w:val="single" w:sz="6" w:space="0" w:color="B9DFEA"/>
          <w:left w:val="single" w:sz="6" w:space="0" w:color="B9DFEA"/>
          <w:bottom w:val="single" w:sz="6" w:space="0" w:color="B9DFEA"/>
          <w:right w:val="single" w:sz="6" w:space="0" w:color="B9DFEA"/>
        </w:pBdr>
        <w:shd w:val="clear" w:color="auto" w:fill="EAF6FA"/>
        <w:spacing w:after="274" w:line="286" w:lineRule="auto"/>
        <w:ind w:left="-5"/>
      </w:pPr>
      <w:r>
        <w:rPr>
          <w:b/>
          <w:color w:val="385A72"/>
          <w:sz w:val="21"/>
        </w:rPr>
        <w:t>Core problem: How can higher education be made accessible, affordable, and adaptable for rural learners who may not have continuous internet, personal devices, local-language content, accessible resources, or reliable academic support?</w:t>
      </w:r>
    </w:p>
    <w:p w14:paraId="3E36A0BF" w14:textId="77777777" w:rsidR="00524A57" w:rsidRDefault="00C23C2D">
      <w:pPr>
        <w:pStyle w:val="Heading1"/>
        <w:ind w:left="384" w:hanging="399"/>
      </w:pPr>
      <w:r>
        <w:t>Proposed Solution</w:t>
      </w:r>
    </w:p>
    <w:p w14:paraId="50C183CC" w14:textId="77777777" w:rsidR="00524A57" w:rsidRDefault="00C23C2D">
      <w:pPr>
        <w:spacing w:after="140"/>
        <w:ind w:left="-5" w:right="6"/>
      </w:pPr>
      <w:proofErr w:type="spellStart"/>
      <w:r>
        <w:t>VidyaSetu</w:t>
      </w:r>
      <w:proofErr w:type="spellEnd"/>
      <w:r>
        <w:t xml:space="preserve"> is an offline-first, multilingual, and accessible learning platform designed for rural higher education. It allows students to download course packs, learn without continuous internet, complete quizzes offline, submit doubts, track progress, and synchronize their data when connectivity returns.</w:t>
      </w:r>
    </w:p>
    <w:p w14:paraId="2AE9FCBB" w14:textId="77777777" w:rsidR="00524A57" w:rsidRDefault="00C23C2D">
      <w:pPr>
        <w:spacing w:after="318"/>
        <w:ind w:left="-5" w:right="6"/>
      </w:pPr>
      <w:r>
        <w:t>The platform is supported by local Wi-Fi learning hubs in colleges, libraries, Common Service Centres, and community locations. These hubs distribute course content locally, reducing repeated mobile-data costs and making learning available even when the wider internet is weak or unavailable.</w:t>
      </w:r>
    </w:p>
    <w:p w14:paraId="6D9160AE" w14:textId="77777777" w:rsidR="00524A57" w:rsidRDefault="00C23C2D">
      <w:pPr>
        <w:pStyle w:val="Heading1"/>
        <w:ind w:left="384" w:hanging="399"/>
      </w:pPr>
      <w:r>
        <w:t>Proposed Features</w:t>
      </w:r>
    </w:p>
    <w:tbl>
      <w:tblPr>
        <w:tblStyle w:val="TableGrid"/>
        <w:tblW w:w="8928" w:type="dxa"/>
        <w:tblInd w:w="329" w:type="dxa"/>
        <w:tblCellMar>
          <w:top w:w="139" w:type="dxa"/>
          <w:left w:w="120" w:type="dxa"/>
          <w:bottom w:w="0" w:type="dxa"/>
          <w:right w:w="115" w:type="dxa"/>
        </w:tblCellMar>
        <w:tblLook w:val="04A0" w:firstRow="1" w:lastRow="0" w:firstColumn="1" w:lastColumn="0" w:noHBand="0" w:noVBand="1"/>
      </w:tblPr>
      <w:tblGrid>
        <w:gridCol w:w="2045"/>
        <w:gridCol w:w="6883"/>
      </w:tblGrid>
      <w:tr w:rsidR="00524A57" w14:paraId="4A4AA888" w14:textId="77777777">
        <w:trPr>
          <w:trHeight w:val="420"/>
        </w:trPr>
        <w:tc>
          <w:tcPr>
            <w:tcW w:w="2045" w:type="dxa"/>
            <w:tcBorders>
              <w:top w:val="single" w:sz="2" w:space="0" w:color="CFE6ED"/>
              <w:left w:val="single" w:sz="2" w:space="0" w:color="CFE6ED"/>
              <w:bottom w:val="single" w:sz="2" w:space="0" w:color="CFE6ED"/>
              <w:right w:val="single" w:sz="2" w:space="0" w:color="CFE6ED"/>
            </w:tcBorders>
            <w:shd w:val="clear" w:color="auto" w:fill="6FAFC2"/>
            <w:vAlign w:val="center"/>
          </w:tcPr>
          <w:p w14:paraId="7D36EFBD" w14:textId="77777777" w:rsidR="00524A57" w:rsidRDefault="00C23C2D">
            <w:pPr>
              <w:spacing w:after="0"/>
              <w:ind w:left="0" w:firstLine="0"/>
            </w:pPr>
            <w:r>
              <w:rPr>
                <w:sz w:val="16"/>
              </w:rPr>
              <w:t>Solution area</w:t>
            </w:r>
          </w:p>
        </w:tc>
        <w:tc>
          <w:tcPr>
            <w:tcW w:w="6883" w:type="dxa"/>
            <w:tcBorders>
              <w:top w:val="single" w:sz="2" w:space="0" w:color="CFE6ED"/>
              <w:left w:val="single" w:sz="2" w:space="0" w:color="CFE6ED"/>
              <w:bottom w:val="single" w:sz="2" w:space="0" w:color="CFE6ED"/>
              <w:right w:val="single" w:sz="2" w:space="0" w:color="CFE6ED"/>
            </w:tcBorders>
            <w:shd w:val="clear" w:color="auto" w:fill="6FAFC2"/>
            <w:vAlign w:val="center"/>
          </w:tcPr>
          <w:p w14:paraId="3F982184" w14:textId="77777777" w:rsidR="00524A57" w:rsidRDefault="00C23C2D">
            <w:pPr>
              <w:spacing w:after="0"/>
              <w:ind w:left="0" w:firstLine="0"/>
            </w:pPr>
            <w:r>
              <w:rPr>
                <w:sz w:val="16"/>
              </w:rPr>
              <w:t xml:space="preserve">Features provided by </w:t>
            </w:r>
            <w:proofErr w:type="spellStart"/>
            <w:r>
              <w:rPr>
                <w:sz w:val="16"/>
              </w:rPr>
              <w:t>VidyaSetu</w:t>
            </w:r>
            <w:proofErr w:type="spellEnd"/>
          </w:p>
        </w:tc>
      </w:tr>
      <w:tr w:rsidR="00524A57" w14:paraId="27C2A7ED" w14:textId="77777777">
        <w:trPr>
          <w:trHeight w:val="640"/>
        </w:trPr>
        <w:tc>
          <w:tcPr>
            <w:tcW w:w="2045" w:type="dxa"/>
            <w:tcBorders>
              <w:top w:val="single" w:sz="2" w:space="0" w:color="CFE6ED"/>
              <w:left w:val="single" w:sz="2" w:space="0" w:color="CFE6ED"/>
              <w:bottom w:val="single" w:sz="2" w:space="0" w:color="CFE6ED"/>
              <w:right w:val="single" w:sz="2" w:space="0" w:color="CFE6ED"/>
            </w:tcBorders>
            <w:shd w:val="clear" w:color="auto" w:fill="FFFFFF"/>
          </w:tcPr>
          <w:p w14:paraId="2D30529B" w14:textId="77777777" w:rsidR="00524A57" w:rsidRDefault="00C23C2D">
            <w:pPr>
              <w:spacing w:after="0"/>
              <w:ind w:left="0" w:firstLine="0"/>
            </w:pPr>
            <w:r>
              <w:rPr>
                <w:sz w:val="16"/>
              </w:rPr>
              <w:t>Offline learning</w:t>
            </w:r>
          </w:p>
        </w:tc>
        <w:tc>
          <w:tcPr>
            <w:tcW w:w="6883"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31DDDF0C" w14:textId="77777777" w:rsidR="00524A57" w:rsidRDefault="00C23C2D">
            <w:pPr>
              <w:spacing w:after="0"/>
              <w:ind w:left="0" w:firstLine="0"/>
              <w:jc w:val="both"/>
            </w:pPr>
            <w:r>
              <w:rPr>
                <w:sz w:val="16"/>
              </w:rPr>
              <w:t>Downloadable course packs, offline lessons, audio, notes, quizzes, and progress saving.</w:t>
            </w:r>
          </w:p>
        </w:tc>
      </w:tr>
      <w:tr w:rsidR="00524A57" w14:paraId="52220E26" w14:textId="77777777">
        <w:trPr>
          <w:trHeight w:val="640"/>
        </w:trPr>
        <w:tc>
          <w:tcPr>
            <w:tcW w:w="2045" w:type="dxa"/>
            <w:tcBorders>
              <w:top w:val="single" w:sz="2" w:space="0" w:color="CFE6ED"/>
              <w:left w:val="single" w:sz="2" w:space="0" w:color="CFE6ED"/>
              <w:bottom w:val="single" w:sz="2" w:space="0" w:color="CFE6ED"/>
              <w:right w:val="single" w:sz="2" w:space="0" w:color="CFE6ED"/>
            </w:tcBorders>
            <w:shd w:val="clear" w:color="auto" w:fill="F3FAFC"/>
          </w:tcPr>
          <w:p w14:paraId="71B0FD65" w14:textId="77777777" w:rsidR="00524A57" w:rsidRDefault="00C23C2D">
            <w:pPr>
              <w:spacing w:after="0"/>
              <w:ind w:left="0" w:firstLine="0"/>
            </w:pPr>
            <w:r>
              <w:rPr>
                <w:sz w:val="16"/>
              </w:rPr>
              <w:t>Affordable access</w:t>
            </w:r>
          </w:p>
        </w:tc>
        <w:tc>
          <w:tcPr>
            <w:tcW w:w="6883" w:type="dxa"/>
            <w:tcBorders>
              <w:top w:val="single" w:sz="2" w:space="0" w:color="CFE6ED"/>
              <w:left w:val="single" w:sz="2" w:space="0" w:color="CFE6ED"/>
              <w:bottom w:val="single" w:sz="2" w:space="0" w:color="CFE6ED"/>
              <w:right w:val="single" w:sz="2" w:space="0" w:color="CFE6ED"/>
            </w:tcBorders>
            <w:shd w:val="clear" w:color="auto" w:fill="F3FAFC"/>
            <w:vAlign w:val="center"/>
          </w:tcPr>
          <w:p w14:paraId="2DF604C7" w14:textId="77777777" w:rsidR="00524A57" w:rsidRDefault="00C23C2D">
            <w:pPr>
              <w:spacing w:after="0"/>
              <w:ind w:left="0" w:firstLine="0"/>
            </w:pPr>
            <w:r>
              <w:rPr>
                <w:sz w:val="16"/>
              </w:rPr>
              <w:t>Low-data HTML, PDF, MP3, and compressed-video content; local hub distribution; reusable devices.</w:t>
            </w:r>
          </w:p>
        </w:tc>
      </w:tr>
      <w:tr w:rsidR="00524A57" w14:paraId="166D3BAE" w14:textId="77777777">
        <w:trPr>
          <w:trHeight w:val="420"/>
        </w:trPr>
        <w:tc>
          <w:tcPr>
            <w:tcW w:w="2045"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7F85A90F" w14:textId="77777777" w:rsidR="00524A57" w:rsidRDefault="00C23C2D">
            <w:pPr>
              <w:spacing w:after="0"/>
              <w:ind w:left="0" w:firstLine="0"/>
            </w:pPr>
            <w:r>
              <w:rPr>
                <w:sz w:val="16"/>
              </w:rPr>
              <w:t>Multilingual support</w:t>
            </w:r>
          </w:p>
        </w:tc>
        <w:tc>
          <w:tcPr>
            <w:tcW w:w="6883"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45B39BCF" w14:textId="77777777" w:rsidR="00524A57" w:rsidRDefault="00C23C2D">
            <w:pPr>
              <w:spacing w:after="0"/>
              <w:ind w:left="0" w:firstLine="0"/>
            </w:pPr>
            <w:r>
              <w:rPr>
                <w:sz w:val="16"/>
              </w:rPr>
              <w:t>Hindi and English interface and content, with future regional-language support.</w:t>
            </w:r>
          </w:p>
        </w:tc>
      </w:tr>
      <w:tr w:rsidR="00524A57" w14:paraId="54C5F6C6" w14:textId="77777777">
        <w:trPr>
          <w:trHeight w:val="640"/>
        </w:trPr>
        <w:tc>
          <w:tcPr>
            <w:tcW w:w="2045" w:type="dxa"/>
            <w:tcBorders>
              <w:top w:val="single" w:sz="2" w:space="0" w:color="CFE6ED"/>
              <w:left w:val="single" w:sz="2" w:space="0" w:color="CFE6ED"/>
              <w:bottom w:val="single" w:sz="2" w:space="0" w:color="CFE6ED"/>
              <w:right w:val="single" w:sz="2" w:space="0" w:color="CFE6ED"/>
            </w:tcBorders>
            <w:shd w:val="clear" w:color="auto" w:fill="F3FAFC"/>
          </w:tcPr>
          <w:p w14:paraId="77972FC4" w14:textId="77777777" w:rsidR="00524A57" w:rsidRDefault="00C23C2D">
            <w:pPr>
              <w:spacing w:after="0"/>
              <w:ind w:left="0" w:firstLine="0"/>
            </w:pPr>
            <w:r>
              <w:rPr>
                <w:sz w:val="16"/>
              </w:rPr>
              <w:t>Accessibility</w:t>
            </w:r>
          </w:p>
        </w:tc>
        <w:tc>
          <w:tcPr>
            <w:tcW w:w="6883" w:type="dxa"/>
            <w:tcBorders>
              <w:top w:val="single" w:sz="2" w:space="0" w:color="CFE6ED"/>
              <w:left w:val="single" w:sz="2" w:space="0" w:color="CFE6ED"/>
              <w:bottom w:val="single" w:sz="2" w:space="0" w:color="CFE6ED"/>
              <w:right w:val="single" w:sz="2" w:space="0" w:color="CFE6ED"/>
            </w:tcBorders>
            <w:shd w:val="clear" w:color="auto" w:fill="F3FAFC"/>
            <w:vAlign w:val="center"/>
          </w:tcPr>
          <w:p w14:paraId="7E105CD3" w14:textId="77777777" w:rsidR="00524A57" w:rsidRDefault="00C23C2D">
            <w:pPr>
              <w:spacing w:after="0"/>
              <w:ind w:left="0" w:firstLine="0"/>
            </w:pPr>
            <w:r>
              <w:rPr>
                <w:sz w:val="16"/>
              </w:rPr>
              <w:t>Text-to-speech, speech-to-text, captions, transcripts, adjustable text size, high contrast, and readable layouts.</w:t>
            </w:r>
          </w:p>
        </w:tc>
      </w:tr>
      <w:tr w:rsidR="00524A57" w14:paraId="6769FD6D" w14:textId="77777777">
        <w:trPr>
          <w:trHeight w:val="640"/>
        </w:trPr>
        <w:tc>
          <w:tcPr>
            <w:tcW w:w="2045" w:type="dxa"/>
            <w:tcBorders>
              <w:top w:val="single" w:sz="2" w:space="0" w:color="CFE6ED"/>
              <w:left w:val="single" w:sz="2" w:space="0" w:color="CFE6ED"/>
              <w:bottom w:val="single" w:sz="2" w:space="0" w:color="CFE6ED"/>
              <w:right w:val="single" w:sz="2" w:space="0" w:color="CFE6ED"/>
            </w:tcBorders>
            <w:shd w:val="clear" w:color="auto" w:fill="FFFFFF"/>
          </w:tcPr>
          <w:p w14:paraId="4998E7F7" w14:textId="77777777" w:rsidR="00524A57" w:rsidRDefault="00C23C2D">
            <w:pPr>
              <w:spacing w:after="0"/>
              <w:ind w:left="0" w:firstLine="0"/>
            </w:pPr>
            <w:r>
              <w:rPr>
                <w:sz w:val="16"/>
              </w:rPr>
              <w:t>Assessment</w:t>
            </w:r>
          </w:p>
        </w:tc>
        <w:tc>
          <w:tcPr>
            <w:tcW w:w="6883"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0A07C700" w14:textId="77777777" w:rsidR="00524A57" w:rsidRDefault="00C23C2D">
            <w:pPr>
              <w:spacing w:after="0"/>
              <w:ind w:left="0" w:firstLine="0"/>
            </w:pPr>
            <w:r>
              <w:rPr>
                <w:sz w:val="16"/>
              </w:rPr>
              <w:t>Offline quizzes, immediate feedback, saved attempts, revision recommendations, and later synchronization.</w:t>
            </w:r>
          </w:p>
        </w:tc>
      </w:tr>
      <w:tr w:rsidR="00524A57" w14:paraId="72702124" w14:textId="77777777">
        <w:trPr>
          <w:trHeight w:val="420"/>
        </w:trPr>
        <w:tc>
          <w:tcPr>
            <w:tcW w:w="2045" w:type="dxa"/>
            <w:tcBorders>
              <w:top w:val="single" w:sz="2" w:space="0" w:color="CFE6ED"/>
              <w:left w:val="single" w:sz="2" w:space="0" w:color="CFE6ED"/>
              <w:bottom w:val="single" w:sz="2" w:space="0" w:color="CFE6ED"/>
              <w:right w:val="single" w:sz="2" w:space="0" w:color="CFE6ED"/>
            </w:tcBorders>
            <w:shd w:val="clear" w:color="auto" w:fill="6FAFC2"/>
            <w:vAlign w:val="center"/>
          </w:tcPr>
          <w:p w14:paraId="682C21CD" w14:textId="77777777" w:rsidR="00524A57" w:rsidRDefault="00C23C2D">
            <w:pPr>
              <w:spacing w:after="0"/>
              <w:ind w:left="0" w:firstLine="0"/>
            </w:pPr>
            <w:r>
              <w:rPr>
                <w:sz w:val="16"/>
              </w:rPr>
              <w:t>Solution area</w:t>
            </w:r>
          </w:p>
        </w:tc>
        <w:tc>
          <w:tcPr>
            <w:tcW w:w="6883" w:type="dxa"/>
            <w:tcBorders>
              <w:top w:val="single" w:sz="2" w:space="0" w:color="CFE6ED"/>
              <w:left w:val="single" w:sz="2" w:space="0" w:color="CFE6ED"/>
              <w:bottom w:val="single" w:sz="2" w:space="0" w:color="CFE6ED"/>
              <w:right w:val="single" w:sz="2" w:space="0" w:color="CFE6ED"/>
            </w:tcBorders>
            <w:shd w:val="clear" w:color="auto" w:fill="6FAFC2"/>
            <w:vAlign w:val="center"/>
          </w:tcPr>
          <w:p w14:paraId="0019A233" w14:textId="77777777" w:rsidR="00524A57" w:rsidRDefault="00C23C2D">
            <w:pPr>
              <w:spacing w:after="0"/>
              <w:ind w:left="0" w:firstLine="0"/>
            </w:pPr>
            <w:r>
              <w:rPr>
                <w:sz w:val="16"/>
              </w:rPr>
              <w:t xml:space="preserve">Features provided by </w:t>
            </w:r>
            <w:proofErr w:type="spellStart"/>
            <w:r>
              <w:rPr>
                <w:sz w:val="16"/>
              </w:rPr>
              <w:t>VidyaSetu</w:t>
            </w:r>
            <w:proofErr w:type="spellEnd"/>
          </w:p>
        </w:tc>
      </w:tr>
      <w:tr w:rsidR="00524A57" w14:paraId="183D8855" w14:textId="77777777">
        <w:trPr>
          <w:trHeight w:val="420"/>
        </w:trPr>
        <w:tc>
          <w:tcPr>
            <w:tcW w:w="2045"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52B45F22" w14:textId="77777777" w:rsidR="00524A57" w:rsidRDefault="00C23C2D">
            <w:pPr>
              <w:spacing w:after="0"/>
              <w:ind w:left="0" w:firstLine="0"/>
            </w:pPr>
            <w:r>
              <w:rPr>
                <w:sz w:val="16"/>
              </w:rPr>
              <w:t>Mentor support</w:t>
            </w:r>
          </w:p>
        </w:tc>
        <w:tc>
          <w:tcPr>
            <w:tcW w:w="6883"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6CB288F8" w14:textId="77777777" w:rsidR="00524A57" w:rsidRDefault="00C23C2D">
            <w:pPr>
              <w:spacing w:after="0"/>
              <w:ind w:left="0" w:firstLine="0"/>
            </w:pPr>
            <w:r>
              <w:rPr>
                <w:sz w:val="16"/>
              </w:rPr>
              <w:t>Text or voice doubts, mentor replies, peer support, and doubt status tracking.</w:t>
            </w:r>
          </w:p>
        </w:tc>
      </w:tr>
      <w:tr w:rsidR="00524A57" w14:paraId="57AACC1E" w14:textId="77777777">
        <w:trPr>
          <w:trHeight w:val="640"/>
        </w:trPr>
        <w:tc>
          <w:tcPr>
            <w:tcW w:w="2045" w:type="dxa"/>
            <w:tcBorders>
              <w:top w:val="single" w:sz="2" w:space="0" w:color="CFE6ED"/>
              <w:left w:val="single" w:sz="2" w:space="0" w:color="CFE6ED"/>
              <w:bottom w:val="single" w:sz="2" w:space="0" w:color="CFE6ED"/>
              <w:right w:val="single" w:sz="2" w:space="0" w:color="CFE6ED"/>
            </w:tcBorders>
            <w:shd w:val="clear" w:color="auto" w:fill="F3FAFC"/>
          </w:tcPr>
          <w:p w14:paraId="0BA3F07C" w14:textId="77777777" w:rsidR="00524A57" w:rsidRDefault="00C23C2D">
            <w:pPr>
              <w:spacing w:after="0"/>
              <w:ind w:left="0" w:firstLine="0"/>
            </w:pPr>
            <w:r>
              <w:rPr>
                <w:sz w:val="16"/>
              </w:rPr>
              <w:t>Learning hubs</w:t>
            </w:r>
          </w:p>
        </w:tc>
        <w:tc>
          <w:tcPr>
            <w:tcW w:w="6883" w:type="dxa"/>
            <w:tcBorders>
              <w:top w:val="single" w:sz="2" w:space="0" w:color="CFE6ED"/>
              <w:left w:val="single" w:sz="2" w:space="0" w:color="CFE6ED"/>
              <w:bottom w:val="single" w:sz="2" w:space="0" w:color="CFE6ED"/>
              <w:right w:val="single" w:sz="2" w:space="0" w:color="CFE6ED"/>
            </w:tcBorders>
            <w:shd w:val="clear" w:color="auto" w:fill="F3FAFC"/>
            <w:vAlign w:val="center"/>
          </w:tcPr>
          <w:p w14:paraId="2B4D8317" w14:textId="77777777" w:rsidR="00524A57" w:rsidRDefault="00C23C2D">
            <w:pPr>
              <w:spacing w:after="0"/>
              <w:ind w:left="0" w:firstLine="0"/>
            </w:pPr>
            <w:r>
              <w:rPr>
                <w:sz w:val="16"/>
              </w:rPr>
              <w:t>Local Wi-Fi access through a laptop, Raspberry Pi, library, college, CSC, or community centre.</w:t>
            </w:r>
          </w:p>
        </w:tc>
      </w:tr>
      <w:tr w:rsidR="00524A57" w14:paraId="30683D20" w14:textId="77777777">
        <w:trPr>
          <w:trHeight w:val="640"/>
        </w:trPr>
        <w:tc>
          <w:tcPr>
            <w:tcW w:w="2045"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4E656EAB" w14:textId="77777777" w:rsidR="00524A57" w:rsidRDefault="00C23C2D">
            <w:pPr>
              <w:spacing w:after="0"/>
              <w:ind w:left="0" w:firstLine="0"/>
            </w:pPr>
            <w:r>
              <w:rPr>
                <w:sz w:val="16"/>
              </w:rPr>
              <w:t>Progress and opportunities</w:t>
            </w:r>
          </w:p>
        </w:tc>
        <w:tc>
          <w:tcPr>
            <w:tcW w:w="6883"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245372CF" w14:textId="77777777" w:rsidR="00524A57" w:rsidRDefault="00C23C2D">
            <w:pPr>
              <w:spacing w:after="0"/>
              <w:ind w:left="0" w:firstLine="0"/>
            </w:pPr>
            <w:r>
              <w:rPr>
                <w:sz w:val="16"/>
              </w:rPr>
              <w:t>Course progress, quiz performance, skill profile, scholarships, internships, projects, and employability pathways.</w:t>
            </w:r>
          </w:p>
        </w:tc>
      </w:tr>
    </w:tbl>
    <w:p w14:paraId="29FDCADE" w14:textId="77777777" w:rsidR="00524A57" w:rsidRDefault="00C23C2D">
      <w:pPr>
        <w:pStyle w:val="Heading1"/>
        <w:ind w:left="384" w:hanging="399"/>
      </w:pPr>
      <w:r>
        <w:t>User Workflow</w:t>
      </w:r>
    </w:p>
    <w:p w14:paraId="085C831D" w14:textId="77777777" w:rsidR="00524A57" w:rsidRDefault="00C23C2D">
      <w:pPr>
        <w:spacing w:after="318"/>
        <w:ind w:left="-5" w:right="6"/>
      </w:pPr>
      <w:r>
        <w:t xml:space="preserve">1. Select language and accessibility preferences.   2. Connect to the internet or a </w:t>
      </w:r>
      <w:proofErr w:type="spellStart"/>
      <w:r>
        <w:t>VidyaSetu</w:t>
      </w:r>
      <w:proofErr w:type="spellEnd"/>
      <w:r>
        <w:t xml:space="preserve"> learning hub.   3. Download a course pack.   4. Learn and complete quizzes offline.   5. Save progress and doubts locally.   6. Synchronize when connected.   7. Receive mentor support and continue the course.</w:t>
      </w:r>
    </w:p>
    <w:p w14:paraId="601EA88E" w14:textId="77777777" w:rsidR="00524A57" w:rsidRDefault="00C23C2D">
      <w:pPr>
        <w:pStyle w:val="Heading1"/>
        <w:ind w:left="384" w:hanging="399"/>
      </w:pPr>
      <w:r>
        <w:t>Target Users</w:t>
      </w:r>
    </w:p>
    <w:p w14:paraId="13353232" w14:textId="77777777" w:rsidR="00524A57" w:rsidRDefault="00C23C2D">
      <w:pPr>
        <w:spacing w:after="140"/>
        <w:ind w:left="-5" w:right="6"/>
      </w:pPr>
      <w:r>
        <w:t>Primary users: Rural undergraduate students, first-generation learners, women learners, distance learners, students with disabilities, and students using shared or low-end smartphones.</w:t>
      </w:r>
    </w:p>
    <w:p w14:paraId="7AD35D23" w14:textId="77777777" w:rsidR="00524A57" w:rsidRDefault="00C23C2D">
      <w:pPr>
        <w:spacing w:after="318"/>
        <w:ind w:left="-5" w:right="6"/>
      </w:pPr>
      <w:r>
        <w:t>Supporting users: Faculty members, colleges, universities, NGOs, CSR programmes, libraries, Common Service Centres, panchayats, local employers, and student volunteers.</w:t>
      </w:r>
    </w:p>
    <w:p w14:paraId="19A8F1AB" w14:textId="77777777" w:rsidR="00524A57" w:rsidRDefault="00C23C2D">
      <w:pPr>
        <w:pStyle w:val="Heading1"/>
        <w:ind w:left="384" w:hanging="399"/>
      </w:pPr>
      <w:r>
        <w:t>Differentiation</w:t>
      </w:r>
    </w:p>
    <w:p w14:paraId="014BDA75" w14:textId="77777777" w:rsidR="00524A57" w:rsidRDefault="00C23C2D">
      <w:pPr>
        <w:spacing w:after="318"/>
        <w:ind w:left="-5" w:right="6"/>
      </w:pPr>
      <w:proofErr w:type="spellStart"/>
      <w:r>
        <w:t>VidyaSetu</w:t>
      </w:r>
      <w:proofErr w:type="spellEnd"/>
      <w:r>
        <w:t xml:space="preserve"> is not only a course platform. It combines offline-first learning, local Wi-Fi distribution, multilingual content, accessibility by design, human mentoring, progress tracking, and pathways to skills and opportunities. The solution is practical for rural conditions, affordable to pilot, and scalable through existing educational and community infrastructure.</w:t>
      </w:r>
    </w:p>
    <w:p w14:paraId="560869DC" w14:textId="77777777" w:rsidR="00524A57" w:rsidRDefault="00C23C2D">
      <w:pPr>
        <w:pStyle w:val="Heading1"/>
        <w:ind w:left="384" w:hanging="399"/>
      </w:pPr>
      <w:r>
        <w:t>Technical Approach</w:t>
      </w:r>
    </w:p>
    <w:tbl>
      <w:tblPr>
        <w:tblStyle w:val="TableGrid"/>
        <w:tblW w:w="8928" w:type="dxa"/>
        <w:tblInd w:w="329" w:type="dxa"/>
        <w:tblCellMar>
          <w:top w:w="139" w:type="dxa"/>
          <w:left w:w="120" w:type="dxa"/>
          <w:bottom w:w="0" w:type="dxa"/>
          <w:right w:w="115" w:type="dxa"/>
        </w:tblCellMar>
        <w:tblLook w:val="04A0" w:firstRow="1" w:lastRow="0" w:firstColumn="1" w:lastColumn="0" w:noHBand="0" w:noVBand="1"/>
      </w:tblPr>
      <w:tblGrid>
        <w:gridCol w:w="4464"/>
        <w:gridCol w:w="4464"/>
      </w:tblGrid>
      <w:tr w:rsidR="00524A57" w14:paraId="50770A90" w14:textId="77777777">
        <w:trPr>
          <w:trHeight w:val="420"/>
        </w:trPr>
        <w:tc>
          <w:tcPr>
            <w:tcW w:w="4464" w:type="dxa"/>
            <w:tcBorders>
              <w:top w:val="single" w:sz="2" w:space="0" w:color="CFE6ED"/>
              <w:left w:val="single" w:sz="2" w:space="0" w:color="CFE6ED"/>
              <w:bottom w:val="single" w:sz="2" w:space="0" w:color="CFE6ED"/>
              <w:right w:val="single" w:sz="2" w:space="0" w:color="CFE6ED"/>
            </w:tcBorders>
            <w:shd w:val="clear" w:color="auto" w:fill="6FAFC2"/>
            <w:vAlign w:val="center"/>
          </w:tcPr>
          <w:p w14:paraId="1BD1EEF9" w14:textId="77777777" w:rsidR="00524A57" w:rsidRDefault="00C23C2D">
            <w:pPr>
              <w:spacing w:after="0"/>
              <w:ind w:left="0" w:firstLine="0"/>
            </w:pPr>
            <w:r>
              <w:rPr>
                <w:sz w:val="16"/>
              </w:rPr>
              <w:t>Prototype technology</w:t>
            </w:r>
          </w:p>
        </w:tc>
        <w:tc>
          <w:tcPr>
            <w:tcW w:w="4464" w:type="dxa"/>
            <w:tcBorders>
              <w:top w:val="single" w:sz="2" w:space="0" w:color="CFE6ED"/>
              <w:left w:val="single" w:sz="2" w:space="0" w:color="CFE6ED"/>
              <w:bottom w:val="single" w:sz="2" w:space="0" w:color="CFE6ED"/>
              <w:right w:val="single" w:sz="2" w:space="0" w:color="CFE6ED"/>
            </w:tcBorders>
            <w:shd w:val="clear" w:color="auto" w:fill="6FAFC2"/>
            <w:vAlign w:val="center"/>
          </w:tcPr>
          <w:p w14:paraId="5FC9816D" w14:textId="77777777" w:rsidR="00524A57" w:rsidRDefault="00C23C2D">
            <w:pPr>
              <w:spacing w:after="0"/>
              <w:ind w:left="0" w:firstLine="0"/>
            </w:pPr>
            <w:r>
              <w:rPr>
                <w:sz w:val="16"/>
              </w:rPr>
              <w:t>Future scalability</w:t>
            </w:r>
          </w:p>
        </w:tc>
      </w:tr>
      <w:tr w:rsidR="00524A57" w14:paraId="181424B9" w14:textId="77777777">
        <w:trPr>
          <w:trHeight w:val="640"/>
        </w:trPr>
        <w:tc>
          <w:tcPr>
            <w:tcW w:w="4464"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01DD1999" w14:textId="77777777" w:rsidR="00524A57" w:rsidRDefault="00C23C2D">
            <w:pPr>
              <w:spacing w:after="0"/>
              <w:ind w:left="0" w:firstLine="0"/>
            </w:pPr>
            <w:r>
              <w:rPr>
                <w:sz w:val="16"/>
              </w:rPr>
              <w:t xml:space="preserve">React + </w:t>
            </w:r>
            <w:proofErr w:type="spellStart"/>
            <w:r>
              <w:rPr>
                <w:sz w:val="16"/>
              </w:rPr>
              <w:t>TypeScript</w:t>
            </w:r>
            <w:proofErr w:type="spellEnd"/>
            <w:r>
              <w:rPr>
                <w:sz w:val="16"/>
              </w:rPr>
              <w:t xml:space="preserve">, Tailwind CSS, </w:t>
            </w:r>
            <w:proofErr w:type="spellStart"/>
            <w:r>
              <w:rPr>
                <w:sz w:val="16"/>
              </w:rPr>
              <w:t>IndexedDB</w:t>
            </w:r>
            <w:proofErr w:type="spellEnd"/>
            <w:r>
              <w:rPr>
                <w:sz w:val="16"/>
              </w:rPr>
              <w:t>, service worker</w:t>
            </w:r>
          </w:p>
        </w:tc>
        <w:tc>
          <w:tcPr>
            <w:tcW w:w="4464" w:type="dxa"/>
            <w:tcBorders>
              <w:top w:val="single" w:sz="2" w:space="0" w:color="CFE6ED"/>
              <w:left w:val="single" w:sz="2" w:space="0" w:color="CFE6ED"/>
              <w:bottom w:val="single" w:sz="2" w:space="0" w:color="CFE6ED"/>
              <w:right w:val="single" w:sz="2" w:space="0" w:color="CFE6ED"/>
            </w:tcBorders>
            <w:shd w:val="clear" w:color="auto" w:fill="FFFFFF"/>
          </w:tcPr>
          <w:p w14:paraId="1A2BA98C" w14:textId="77777777" w:rsidR="00524A57" w:rsidRDefault="00C23C2D">
            <w:pPr>
              <w:spacing w:after="0"/>
              <w:ind w:left="0" w:firstLine="0"/>
            </w:pPr>
            <w:proofErr w:type="spellStart"/>
            <w:r>
              <w:rPr>
                <w:sz w:val="16"/>
              </w:rPr>
              <w:t>FastAPI</w:t>
            </w:r>
            <w:proofErr w:type="spellEnd"/>
            <w:r>
              <w:rPr>
                <w:sz w:val="16"/>
              </w:rPr>
              <w:t>, PostgreSQL, cloud/object storage</w:t>
            </w:r>
          </w:p>
        </w:tc>
      </w:tr>
      <w:tr w:rsidR="00524A57" w14:paraId="312877C2" w14:textId="77777777">
        <w:trPr>
          <w:trHeight w:val="420"/>
        </w:trPr>
        <w:tc>
          <w:tcPr>
            <w:tcW w:w="4464" w:type="dxa"/>
            <w:tcBorders>
              <w:top w:val="single" w:sz="2" w:space="0" w:color="CFE6ED"/>
              <w:left w:val="single" w:sz="2" w:space="0" w:color="CFE6ED"/>
              <w:bottom w:val="single" w:sz="2" w:space="0" w:color="CFE6ED"/>
              <w:right w:val="single" w:sz="2" w:space="0" w:color="CFE6ED"/>
            </w:tcBorders>
            <w:shd w:val="clear" w:color="auto" w:fill="F3FAFC"/>
            <w:vAlign w:val="center"/>
          </w:tcPr>
          <w:p w14:paraId="57D194EA" w14:textId="77777777" w:rsidR="00524A57" w:rsidRDefault="00C23C2D">
            <w:pPr>
              <w:spacing w:after="0"/>
              <w:ind w:left="0" w:firstLine="0"/>
            </w:pPr>
            <w:r>
              <w:rPr>
                <w:sz w:val="16"/>
              </w:rPr>
              <w:t>Flask + SQLite local server</w:t>
            </w:r>
          </w:p>
        </w:tc>
        <w:tc>
          <w:tcPr>
            <w:tcW w:w="4464" w:type="dxa"/>
            <w:tcBorders>
              <w:top w:val="single" w:sz="2" w:space="0" w:color="CFE6ED"/>
              <w:left w:val="single" w:sz="2" w:space="0" w:color="CFE6ED"/>
              <w:bottom w:val="single" w:sz="2" w:space="0" w:color="CFE6ED"/>
              <w:right w:val="single" w:sz="2" w:space="0" w:color="CFE6ED"/>
            </w:tcBorders>
            <w:shd w:val="clear" w:color="auto" w:fill="F3FAFC"/>
            <w:vAlign w:val="center"/>
          </w:tcPr>
          <w:p w14:paraId="1E4AA855" w14:textId="77777777" w:rsidR="00524A57" w:rsidRDefault="00C23C2D">
            <w:pPr>
              <w:spacing w:after="0"/>
              <w:ind w:left="0" w:firstLine="0"/>
            </w:pPr>
            <w:r>
              <w:rPr>
                <w:sz w:val="16"/>
              </w:rPr>
              <w:t>Authentication, Docker, secure synchronization</w:t>
            </w:r>
          </w:p>
        </w:tc>
      </w:tr>
      <w:tr w:rsidR="00524A57" w14:paraId="469D2BD5" w14:textId="77777777">
        <w:trPr>
          <w:trHeight w:val="420"/>
        </w:trPr>
        <w:tc>
          <w:tcPr>
            <w:tcW w:w="4464"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78870DC3" w14:textId="77777777" w:rsidR="00524A57" w:rsidRDefault="00C23C2D">
            <w:pPr>
              <w:spacing w:after="0"/>
              <w:ind w:left="0" w:firstLine="0"/>
            </w:pPr>
            <w:r>
              <w:rPr>
                <w:sz w:val="16"/>
              </w:rPr>
              <w:t>Laptop or Raspberry Pi Wi-Fi hub</w:t>
            </w:r>
          </w:p>
        </w:tc>
        <w:tc>
          <w:tcPr>
            <w:tcW w:w="4464" w:type="dxa"/>
            <w:tcBorders>
              <w:top w:val="single" w:sz="2" w:space="0" w:color="CFE6ED"/>
              <w:left w:val="single" w:sz="2" w:space="0" w:color="CFE6ED"/>
              <w:bottom w:val="single" w:sz="2" w:space="0" w:color="CFE6ED"/>
              <w:right w:val="single" w:sz="2" w:space="0" w:color="CFE6ED"/>
            </w:tcBorders>
            <w:shd w:val="clear" w:color="auto" w:fill="FFFFFF"/>
            <w:vAlign w:val="center"/>
          </w:tcPr>
          <w:p w14:paraId="7027EC32" w14:textId="77777777" w:rsidR="00524A57" w:rsidRDefault="00C23C2D">
            <w:pPr>
              <w:spacing w:after="0"/>
              <w:ind w:left="0" w:firstLine="0"/>
            </w:pPr>
            <w:r>
              <w:rPr>
                <w:sz w:val="16"/>
              </w:rPr>
              <w:t>Multi-college and district-level deployment</w:t>
            </w:r>
          </w:p>
        </w:tc>
      </w:tr>
    </w:tbl>
    <w:p w14:paraId="16A752FD" w14:textId="77777777" w:rsidR="00524A57" w:rsidRDefault="00C23C2D">
      <w:pPr>
        <w:spacing w:after="318"/>
        <w:ind w:left="-5" w:right="6"/>
      </w:pPr>
      <w:r>
        <w:t>The prototype demonstrates the complete offline journey: connect to the local hub, download a course, turn off the internet, complete a lesson and quiz, submit a doubt, reconnect, and view the updated result on the mentor dashboard.</w:t>
      </w:r>
    </w:p>
    <w:p w14:paraId="2C2767C3" w14:textId="77777777" w:rsidR="00524A57" w:rsidRDefault="00C23C2D">
      <w:pPr>
        <w:pStyle w:val="Heading1"/>
        <w:ind w:left="384" w:hanging="399"/>
      </w:pPr>
      <w:r>
        <w:t>Expected Outcomes</w:t>
      </w:r>
    </w:p>
    <w:p w14:paraId="7EC471FD" w14:textId="77777777" w:rsidR="00524A57" w:rsidRDefault="00C23C2D">
      <w:pPr>
        <w:numPr>
          <w:ilvl w:val="0"/>
          <w:numId w:val="1"/>
        </w:numPr>
        <w:ind w:right="6" w:hanging="165"/>
      </w:pPr>
      <w:r>
        <w:t>Greater access to higher education in low-connectivity areas.</w:t>
      </w:r>
    </w:p>
    <w:p w14:paraId="5155E20F" w14:textId="77777777" w:rsidR="00524A57" w:rsidRDefault="00C23C2D">
      <w:pPr>
        <w:numPr>
          <w:ilvl w:val="0"/>
          <w:numId w:val="1"/>
        </w:numPr>
        <w:ind w:right="6" w:hanging="165"/>
      </w:pPr>
      <w:r>
        <w:t>Reduced data and learning-material costs.</w:t>
      </w:r>
    </w:p>
    <w:p w14:paraId="66CE298C" w14:textId="77777777" w:rsidR="00524A57" w:rsidRDefault="00C23C2D">
      <w:pPr>
        <w:numPr>
          <w:ilvl w:val="0"/>
          <w:numId w:val="1"/>
        </w:numPr>
        <w:ind w:right="6" w:hanging="165"/>
      </w:pPr>
      <w:r>
        <w:t>Better support for Hindi, regional languages, and diverse abilities.</w:t>
      </w:r>
    </w:p>
    <w:p w14:paraId="0E1CC05F" w14:textId="77777777" w:rsidR="00524A57" w:rsidRDefault="00C23C2D">
      <w:pPr>
        <w:numPr>
          <w:ilvl w:val="0"/>
          <w:numId w:val="1"/>
        </w:numPr>
        <w:ind w:right="6" w:hanging="165"/>
      </w:pPr>
      <w:r>
        <w:t>Improved participation, completion, skills, and employability.</w:t>
      </w:r>
    </w:p>
    <w:p w14:paraId="000CAE32" w14:textId="77777777" w:rsidR="00524A57" w:rsidRDefault="00C23C2D">
      <w:pPr>
        <w:numPr>
          <w:ilvl w:val="0"/>
          <w:numId w:val="1"/>
        </w:numPr>
        <w:ind w:right="6" w:hanging="165"/>
      </w:pPr>
      <w:r>
        <w:t>Earlier intervention by colleges and mentors.</w:t>
      </w:r>
    </w:p>
    <w:p w14:paraId="018351B1" w14:textId="77777777" w:rsidR="00524A57" w:rsidRDefault="00C23C2D">
      <w:pPr>
        <w:numPr>
          <w:ilvl w:val="0"/>
          <w:numId w:val="1"/>
        </w:numPr>
        <w:spacing w:after="322"/>
        <w:ind w:right="6" w:hanging="165"/>
      </w:pPr>
      <w:r>
        <w:t>A repeatable learning-hub model for rural communities.</w:t>
      </w:r>
    </w:p>
    <w:p w14:paraId="25E19625" w14:textId="77777777" w:rsidR="00524A57" w:rsidRDefault="00C23C2D">
      <w:pPr>
        <w:pStyle w:val="Heading1"/>
        <w:ind w:left="384" w:hanging="399"/>
      </w:pPr>
      <w:r>
        <w:t>Implementation Plan</w:t>
      </w:r>
    </w:p>
    <w:p w14:paraId="5A49DC54" w14:textId="77777777" w:rsidR="00524A57" w:rsidRDefault="00C23C2D">
      <w:pPr>
        <w:ind w:left="-5" w:right="6"/>
      </w:pPr>
      <w:r>
        <w:t>MVP: One course, offline lesson reader, quiz, local storage, accessibility controls, and mentor dashboard.</w:t>
      </w:r>
    </w:p>
    <w:p w14:paraId="5E9676D7" w14:textId="77777777" w:rsidR="00524A57" w:rsidRDefault="00C23C2D">
      <w:pPr>
        <w:ind w:left="-5" w:right="6"/>
      </w:pPr>
      <w:r>
        <w:t>Testing: Validate usability with 30–50 learners across different devices and connectivity conditions.</w:t>
      </w:r>
    </w:p>
    <w:p w14:paraId="4D5A030D" w14:textId="77777777" w:rsidR="00524A57" w:rsidRDefault="00C23C2D">
      <w:pPr>
        <w:ind w:left="-5" w:right="6"/>
      </w:pPr>
      <w:r>
        <w:t>Pilot: Deploy in 2–5 colleges or hubs with 200–500 students.</w:t>
      </w:r>
    </w:p>
    <w:p w14:paraId="1133E79C" w14:textId="77777777" w:rsidR="00524A57" w:rsidRDefault="00C23C2D">
      <w:pPr>
        <w:spacing w:after="322"/>
        <w:ind w:left="-5" w:right="6"/>
      </w:pPr>
      <w:r>
        <w:t>Scale: Add regional languages, more courses, institutional dashboards, scholarships, internships, and district partnerships.</w:t>
      </w:r>
    </w:p>
    <w:p w14:paraId="0F491601" w14:textId="77777777" w:rsidR="00524A57" w:rsidRDefault="00C23C2D">
      <w:pPr>
        <w:pStyle w:val="Heading1"/>
        <w:ind w:left="578" w:hanging="593"/>
      </w:pPr>
      <w:r>
        <w:t>Conclusion</w:t>
      </w:r>
    </w:p>
    <w:p w14:paraId="01DDDF09" w14:textId="77777777" w:rsidR="00524A57" w:rsidRDefault="00C23C2D">
      <w:pPr>
        <w:spacing w:after="144"/>
        <w:ind w:left="-5" w:right="6"/>
      </w:pPr>
      <w:proofErr w:type="spellStart"/>
      <w:r>
        <w:t>VidyaSetu</w:t>
      </w:r>
      <w:proofErr w:type="spellEnd"/>
      <w:r>
        <w:t xml:space="preserve"> bridges the gap between digital content and real access. It makes learning usable—not merely available—for rural students by combining offline access, low-data content, inclusive design, local hubs, mentor support, and career pathways.</w:t>
      </w:r>
    </w:p>
    <w:p w14:paraId="37C2185D" w14:textId="77777777" w:rsidR="00524A57" w:rsidRDefault="00C23C2D">
      <w:pPr>
        <w:pBdr>
          <w:top w:val="single" w:sz="6" w:space="0" w:color="B9DFEA"/>
          <w:left w:val="single" w:sz="6" w:space="0" w:color="B9DFEA"/>
          <w:bottom w:val="single" w:sz="6" w:space="0" w:color="B9DFEA"/>
          <w:right w:val="single" w:sz="6" w:space="0" w:color="B9DFEA"/>
        </w:pBdr>
        <w:shd w:val="clear" w:color="auto" w:fill="EAF6FA"/>
        <w:spacing w:after="274" w:line="286" w:lineRule="auto"/>
        <w:ind w:left="-5"/>
      </w:pPr>
      <w:proofErr w:type="spellStart"/>
      <w:r>
        <w:rPr>
          <w:b/>
          <w:color w:val="385A72"/>
          <w:sz w:val="21"/>
        </w:rPr>
        <w:t>VidyaSetu</w:t>
      </w:r>
      <w:proofErr w:type="spellEnd"/>
      <w:r>
        <w:rPr>
          <w:b/>
          <w:color w:val="385A72"/>
          <w:sz w:val="21"/>
        </w:rPr>
        <w:t xml:space="preserve"> offers a practical and scalable way to make higher education more inclusive, affordable, and adaptable.</w:t>
      </w:r>
    </w:p>
    <w:sectPr w:rsidR="00524A57">
      <w:headerReference w:type="even" r:id="rId8"/>
      <w:headerReference w:type="default" r:id="rId9"/>
      <w:footerReference w:type="even" r:id="rId10"/>
      <w:footerReference w:type="default" r:id="rId11"/>
      <w:headerReference w:type="first" r:id="rId12"/>
      <w:footerReference w:type="first" r:id="rId13"/>
      <w:pgSz w:w="11906" w:h="16838"/>
      <w:pgMar w:top="1040" w:right="1160" w:bottom="1181" w:left="1160" w:header="720"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0CDEA" w14:textId="77777777" w:rsidR="00C23C2D" w:rsidRDefault="00C23C2D">
      <w:pPr>
        <w:spacing w:after="0" w:line="240" w:lineRule="auto"/>
      </w:pPr>
      <w:r>
        <w:separator/>
      </w:r>
    </w:p>
  </w:endnote>
  <w:endnote w:type="continuationSeparator" w:id="0">
    <w:p w14:paraId="6E74DFB8" w14:textId="77777777" w:rsidR="00C23C2D" w:rsidRDefault="00C23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4B5B" w14:textId="77777777" w:rsidR="00524A57" w:rsidRDefault="00C23C2D">
    <w:pPr>
      <w:tabs>
        <w:tab w:val="right" w:pos="9586"/>
      </w:tabs>
      <w:spacing w:after="0"/>
      <w:ind w:left="-120" w:right="-120" w:firstLine="0"/>
    </w:pPr>
    <w:r>
      <w:rPr>
        <w:noProof/>
        <w:color w:val="000000"/>
        <w:sz w:val="22"/>
      </w:rPr>
      <mc:AlternateContent>
        <mc:Choice Requires="wpg">
          <w:drawing>
            <wp:anchor distT="0" distB="0" distL="114300" distR="114300" simplePos="0" relativeHeight="251661312" behindDoc="0" locked="0" layoutInCell="1" allowOverlap="1" wp14:anchorId="19B84282" wp14:editId="4CDC25DB">
              <wp:simplePos x="0" y="0"/>
              <wp:positionH relativeFrom="page">
                <wp:posOffset>660400</wp:posOffset>
              </wp:positionH>
              <wp:positionV relativeFrom="page">
                <wp:posOffset>10260200</wp:posOffset>
              </wp:positionV>
              <wp:extent cx="6239200" cy="6350"/>
              <wp:effectExtent l="0" t="0" r="0" b="0"/>
              <wp:wrapSquare wrapText="bothSides"/>
              <wp:docPr id="2542" name="Group 2542"/>
              <wp:cNvGraphicFramePr/>
              <a:graphic xmlns:a="http://schemas.openxmlformats.org/drawingml/2006/main">
                <a:graphicData uri="http://schemas.microsoft.com/office/word/2010/wordprocessingGroup">
                  <wpg:wgp>
                    <wpg:cNvGrpSpPr/>
                    <wpg:grpSpPr>
                      <a:xfrm>
                        <a:off x="0" y="0"/>
                        <a:ext cx="6239200" cy="6350"/>
                        <a:chOff x="0" y="0"/>
                        <a:chExt cx="6239200" cy="6350"/>
                      </a:xfrm>
                    </wpg:grpSpPr>
                    <wps:wsp>
                      <wps:cNvPr id="2543" name="Shape 2543"/>
                      <wps:cNvSpPr/>
                      <wps:spPr>
                        <a:xfrm>
                          <a:off x="0" y="0"/>
                          <a:ext cx="6239200" cy="0"/>
                        </a:xfrm>
                        <a:custGeom>
                          <a:avLst/>
                          <a:gdLst/>
                          <a:ahLst/>
                          <a:cxnLst/>
                          <a:rect l="0" t="0" r="0" b="0"/>
                          <a:pathLst>
                            <a:path w="6239200">
                              <a:moveTo>
                                <a:pt x="0" y="0"/>
                              </a:moveTo>
                              <a:lnTo>
                                <a:pt x="6239200" y="0"/>
                              </a:lnTo>
                            </a:path>
                          </a:pathLst>
                        </a:custGeom>
                        <a:ln w="6350" cap="flat">
                          <a:miter lim="127000"/>
                        </a:ln>
                      </wps:spPr>
                      <wps:style>
                        <a:lnRef idx="1">
                          <a:srgbClr val="DCEAF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2" style="width:491.276pt;height:0.5pt;position:absolute;mso-position-horizontal-relative:page;mso-position-horizontal:absolute;margin-left:52pt;mso-position-vertical-relative:page;margin-top:807.89pt;" coordsize="62392,63">
              <v:shape id="Shape 2543" style="position:absolute;width:62392;height:0;left:0;top:0;" coordsize="6239200,0" path="m0,0l6239200,0">
                <v:stroke weight="0.5pt" endcap="flat" joinstyle="miter" miterlimit="10" on="true" color="#dceaf5"/>
                <v:fill on="false" color="#000000" opacity="0"/>
              </v:shape>
              <w10:wrap type="square"/>
            </v:group>
          </w:pict>
        </mc:Fallback>
      </mc:AlternateContent>
    </w:r>
    <w:r>
      <w:rPr>
        <w:color w:val="78909C"/>
        <w:sz w:val="15"/>
      </w:rPr>
      <w:t>VidyaSetu | Team Zenith</w:t>
    </w:r>
    <w:r>
      <w:rPr>
        <w:color w:val="78909C"/>
        <w:sz w:val="15"/>
      </w:rPr>
      <w:tab/>
    </w:r>
    <w:r>
      <w:fldChar w:fldCharType="begin"/>
    </w:r>
    <w:r>
      <w:instrText xml:space="preserve"> PAGE   \* MERGEFORMAT </w:instrText>
    </w:r>
    <w:r>
      <w:fldChar w:fldCharType="separate"/>
    </w:r>
    <w:r>
      <w:rPr>
        <w:color w:val="78909C"/>
        <w:sz w:val="15"/>
      </w:rPr>
      <w:t>1</w:t>
    </w:r>
    <w:r>
      <w:rPr>
        <w:color w:val="78909C"/>
        <w:sz w:val="15"/>
      </w:rPr>
      <w:fldChar w:fldCharType="end"/>
    </w:r>
    <w:r>
      <w:rPr>
        <w:color w:val="78909C"/>
        <w:sz w:val="15"/>
      </w:rPr>
      <w:t xml:space="preserve"> / </w:t>
    </w:r>
    <w:r>
      <w:fldChar w:fldCharType="begin"/>
    </w:r>
    <w:r>
      <w:instrText xml:space="preserve"> NUMPAGES   \* MERGEFORMAT </w:instrText>
    </w:r>
    <w:r>
      <w:fldChar w:fldCharType="separate"/>
    </w:r>
    <w:r>
      <w:rPr>
        <w:color w:val="78909C"/>
        <w:sz w:val="15"/>
      </w:rPr>
      <w:t>3</w:t>
    </w:r>
    <w:r>
      <w:rPr>
        <w:color w:val="78909C"/>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6E15" w14:textId="77777777" w:rsidR="00524A57" w:rsidRDefault="00C23C2D">
    <w:pPr>
      <w:tabs>
        <w:tab w:val="right" w:pos="9586"/>
      </w:tabs>
      <w:spacing w:after="0"/>
      <w:ind w:left="-120" w:right="-120" w:firstLine="0"/>
    </w:pPr>
    <w:r>
      <w:rPr>
        <w:noProof/>
        <w:color w:val="000000"/>
        <w:sz w:val="22"/>
      </w:rPr>
      <mc:AlternateContent>
        <mc:Choice Requires="wpg">
          <w:drawing>
            <wp:anchor distT="0" distB="0" distL="114300" distR="114300" simplePos="0" relativeHeight="251662336" behindDoc="0" locked="0" layoutInCell="1" allowOverlap="1" wp14:anchorId="34A517FA" wp14:editId="3C95AE5B">
              <wp:simplePos x="0" y="0"/>
              <wp:positionH relativeFrom="page">
                <wp:posOffset>660400</wp:posOffset>
              </wp:positionH>
              <wp:positionV relativeFrom="page">
                <wp:posOffset>10260200</wp:posOffset>
              </wp:positionV>
              <wp:extent cx="6239200" cy="6350"/>
              <wp:effectExtent l="0" t="0" r="0" b="0"/>
              <wp:wrapSquare wrapText="bothSides"/>
              <wp:docPr id="2526" name="Group 2526"/>
              <wp:cNvGraphicFramePr/>
              <a:graphic xmlns:a="http://schemas.openxmlformats.org/drawingml/2006/main">
                <a:graphicData uri="http://schemas.microsoft.com/office/word/2010/wordprocessingGroup">
                  <wpg:wgp>
                    <wpg:cNvGrpSpPr/>
                    <wpg:grpSpPr>
                      <a:xfrm>
                        <a:off x="0" y="0"/>
                        <a:ext cx="6239200" cy="6350"/>
                        <a:chOff x="0" y="0"/>
                        <a:chExt cx="6239200" cy="6350"/>
                      </a:xfrm>
                    </wpg:grpSpPr>
                    <wps:wsp>
                      <wps:cNvPr id="2527" name="Shape 2527"/>
                      <wps:cNvSpPr/>
                      <wps:spPr>
                        <a:xfrm>
                          <a:off x="0" y="0"/>
                          <a:ext cx="6239200" cy="0"/>
                        </a:xfrm>
                        <a:custGeom>
                          <a:avLst/>
                          <a:gdLst/>
                          <a:ahLst/>
                          <a:cxnLst/>
                          <a:rect l="0" t="0" r="0" b="0"/>
                          <a:pathLst>
                            <a:path w="6239200">
                              <a:moveTo>
                                <a:pt x="0" y="0"/>
                              </a:moveTo>
                              <a:lnTo>
                                <a:pt x="6239200" y="0"/>
                              </a:lnTo>
                            </a:path>
                          </a:pathLst>
                        </a:custGeom>
                        <a:ln w="6350" cap="flat">
                          <a:miter lim="127000"/>
                        </a:ln>
                      </wps:spPr>
                      <wps:style>
                        <a:lnRef idx="1">
                          <a:srgbClr val="DCEAF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6" style="width:491.276pt;height:0.5pt;position:absolute;mso-position-horizontal-relative:page;mso-position-horizontal:absolute;margin-left:52pt;mso-position-vertical-relative:page;margin-top:807.89pt;" coordsize="62392,63">
              <v:shape id="Shape 2527" style="position:absolute;width:62392;height:0;left:0;top:0;" coordsize="6239200,0" path="m0,0l6239200,0">
                <v:stroke weight="0.5pt" endcap="flat" joinstyle="miter" miterlimit="10" on="true" color="#dceaf5"/>
                <v:fill on="false" color="#000000" opacity="0"/>
              </v:shape>
              <w10:wrap type="square"/>
            </v:group>
          </w:pict>
        </mc:Fallback>
      </mc:AlternateContent>
    </w:r>
    <w:r>
      <w:rPr>
        <w:color w:val="78909C"/>
        <w:sz w:val="15"/>
      </w:rPr>
      <w:t>VidyaSetu | Team Zenith</w:t>
    </w:r>
    <w:r>
      <w:rPr>
        <w:color w:val="78909C"/>
        <w:sz w:val="15"/>
      </w:rPr>
      <w:tab/>
    </w:r>
    <w:r>
      <w:fldChar w:fldCharType="begin"/>
    </w:r>
    <w:r>
      <w:instrText xml:space="preserve"> PAGE   \* MERGEFORMAT </w:instrText>
    </w:r>
    <w:r>
      <w:fldChar w:fldCharType="separate"/>
    </w:r>
    <w:r>
      <w:rPr>
        <w:color w:val="78909C"/>
        <w:sz w:val="15"/>
      </w:rPr>
      <w:t>1</w:t>
    </w:r>
    <w:r>
      <w:rPr>
        <w:color w:val="78909C"/>
        <w:sz w:val="15"/>
      </w:rPr>
      <w:fldChar w:fldCharType="end"/>
    </w:r>
    <w:r>
      <w:rPr>
        <w:color w:val="78909C"/>
        <w:sz w:val="15"/>
      </w:rPr>
      <w:t xml:space="preserve"> / </w:t>
    </w:r>
    <w:r>
      <w:fldChar w:fldCharType="begin"/>
    </w:r>
    <w:r>
      <w:instrText xml:space="preserve"> NUMPAGES   \* MERGEFORMAT </w:instrText>
    </w:r>
    <w:r>
      <w:fldChar w:fldCharType="separate"/>
    </w:r>
    <w:r>
      <w:rPr>
        <w:color w:val="78909C"/>
        <w:sz w:val="15"/>
      </w:rPr>
      <w:t>3</w:t>
    </w:r>
    <w:r>
      <w:rPr>
        <w:color w:val="78909C"/>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A5BF" w14:textId="77777777" w:rsidR="00524A57" w:rsidRDefault="00C23C2D">
    <w:pPr>
      <w:tabs>
        <w:tab w:val="right" w:pos="9586"/>
      </w:tabs>
      <w:spacing w:after="0"/>
      <w:ind w:left="-120" w:right="-120" w:firstLine="0"/>
    </w:pPr>
    <w:r>
      <w:rPr>
        <w:noProof/>
        <w:color w:val="000000"/>
        <w:sz w:val="22"/>
      </w:rPr>
      <mc:AlternateContent>
        <mc:Choice Requires="wpg">
          <w:drawing>
            <wp:anchor distT="0" distB="0" distL="114300" distR="114300" simplePos="0" relativeHeight="251663360" behindDoc="0" locked="0" layoutInCell="1" allowOverlap="1" wp14:anchorId="523BE533" wp14:editId="5ED4BBF4">
              <wp:simplePos x="0" y="0"/>
              <wp:positionH relativeFrom="page">
                <wp:posOffset>660400</wp:posOffset>
              </wp:positionH>
              <wp:positionV relativeFrom="page">
                <wp:posOffset>10260200</wp:posOffset>
              </wp:positionV>
              <wp:extent cx="6239200" cy="6350"/>
              <wp:effectExtent l="0" t="0" r="0" b="0"/>
              <wp:wrapSquare wrapText="bothSides"/>
              <wp:docPr id="2510" name="Group 2510"/>
              <wp:cNvGraphicFramePr/>
              <a:graphic xmlns:a="http://schemas.openxmlformats.org/drawingml/2006/main">
                <a:graphicData uri="http://schemas.microsoft.com/office/word/2010/wordprocessingGroup">
                  <wpg:wgp>
                    <wpg:cNvGrpSpPr/>
                    <wpg:grpSpPr>
                      <a:xfrm>
                        <a:off x="0" y="0"/>
                        <a:ext cx="6239200" cy="6350"/>
                        <a:chOff x="0" y="0"/>
                        <a:chExt cx="6239200" cy="6350"/>
                      </a:xfrm>
                    </wpg:grpSpPr>
                    <wps:wsp>
                      <wps:cNvPr id="2511" name="Shape 2511"/>
                      <wps:cNvSpPr/>
                      <wps:spPr>
                        <a:xfrm>
                          <a:off x="0" y="0"/>
                          <a:ext cx="6239200" cy="0"/>
                        </a:xfrm>
                        <a:custGeom>
                          <a:avLst/>
                          <a:gdLst/>
                          <a:ahLst/>
                          <a:cxnLst/>
                          <a:rect l="0" t="0" r="0" b="0"/>
                          <a:pathLst>
                            <a:path w="6239200">
                              <a:moveTo>
                                <a:pt x="0" y="0"/>
                              </a:moveTo>
                              <a:lnTo>
                                <a:pt x="6239200" y="0"/>
                              </a:lnTo>
                            </a:path>
                          </a:pathLst>
                        </a:custGeom>
                        <a:ln w="6350" cap="flat">
                          <a:miter lim="127000"/>
                        </a:ln>
                      </wps:spPr>
                      <wps:style>
                        <a:lnRef idx="1">
                          <a:srgbClr val="DCEAF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0" style="width:491.276pt;height:0.5pt;position:absolute;mso-position-horizontal-relative:page;mso-position-horizontal:absolute;margin-left:52pt;mso-position-vertical-relative:page;margin-top:807.89pt;" coordsize="62392,63">
              <v:shape id="Shape 2511" style="position:absolute;width:62392;height:0;left:0;top:0;" coordsize="6239200,0" path="m0,0l6239200,0">
                <v:stroke weight="0.5pt" endcap="flat" joinstyle="miter" miterlimit="10" on="true" color="#dceaf5"/>
                <v:fill on="false" color="#000000" opacity="0"/>
              </v:shape>
              <w10:wrap type="square"/>
            </v:group>
          </w:pict>
        </mc:Fallback>
      </mc:AlternateContent>
    </w:r>
    <w:r>
      <w:rPr>
        <w:color w:val="78909C"/>
        <w:sz w:val="15"/>
      </w:rPr>
      <w:t>VidyaSetu | Team Zenith</w:t>
    </w:r>
    <w:r>
      <w:rPr>
        <w:color w:val="78909C"/>
        <w:sz w:val="15"/>
      </w:rPr>
      <w:tab/>
    </w:r>
    <w:r>
      <w:fldChar w:fldCharType="begin"/>
    </w:r>
    <w:r>
      <w:instrText xml:space="preserve"> PAGE   \* MERGEFORMAT </w:instrText>
    </w:r>
    <w:r>
      <w:fldChar w:fldCharType="separate"/>
    </w:r>
    <w:r>
      <w:rPr>
        <w:color w:val="78909C"/>
        <w:sz w:val="15"/>
      </w:rPr>
      <w:t>1</w:t>
    </w:r>
    <w:r>
      <w:rPr>
        <w:color w:val="78909C"/>
        <w:sz w:val="15"/>
      </w:rPr>
      <w:fldChar w:fldCharType="end"/>
    </w:r>
    <w:r>
      <w:rPr>
        <w:color w:val="78909C"/>
        <w:sz w:val="15"/>
      </w:rPr>
      <w:t xml:space="preserve"> / </w:t>
    </w:r>
    <w:r>
      <w:fldChar w:fldCharType="begin"/>
    </w:r>
    <w:r>
      <w:instrText xml:space="preserve"> NUMPAGES   \* MERGEFORMAT </w:instrText>
    </w:r>
    <w:r>
      <w:fldChar w:fldCharType="separate"/>
    </w:r>
    <w:r>
      <w:rPr>
        <w:color w:val="78909C"/>
        <w:sz w:val="15"/>
      </w:rPr>
      <w:t>3</w:t>
    </w:r>
    <w:r>
      <w:rPr>
        <w:color w:val="78909C"/>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ABE80" w14:textId="77777777" w:rsidR="00C23C2D" w:rsidRDefault="00C23C2D">
      <w:pPr>
        <w:spacing w:after="0" w:line="240" w:lineRule="auto"/>
      </w:pPr>
      <w:r>
        <w:separator/>
      </w:r>
    </w:p>
  </w:footnote>
  <w:footnote w:type="continuationSeparator" w:id="0">
    <w:p w14:paraId="6A0439D0" w14:textId="77777777" w:rsidR="00C23C2D" w:rsidRDefault="00C23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9EB1" w14:textId="77777777" w:rsidR="00524A57" w:rsidRDefault="00C23C2D">
    <w:r>
      <w:rPr>
        <w:noProof/>
        <w:color w:val="000000"/>
        <w:sz w:val="22"/>
      </w:rPr>
      <mc:AlternateContent>
        <mc:Choice Requires="wpg">
          <w:drawing>
            <wp:anchor distT="0" distB="0" distL="114300" distR="114300" simplePos="0" relativeHeight="251658240" behindDoc="1" locked="0" layoutInCell="1" allowOverlap="1" wp14:anchorId="537A4C3D" wp14:editId="15CBA7A4">
              <wp:simplePos x="0" y="0"/>
              <wp:positionH relativeFrom="page">
                <wp:posOffset>0</wp:posOffset>
              </wp:positionH>
              <wp:positionV relativeFrom="page">
                <wp:posOffset>0</wp:posOffset>
              </wp:positionV>
              <wp:extent cx="7560000" cy="10692000"/>
              <wp:effectExtent l="0" t="0" r="0" b="0"/>
              <wp:wrapNone/>
              <wp:docPr id="2529" name="Group 2529"/>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710" name="Shape 2710"/>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8FCFF"/>
                        </a:fillRef>
                        <a:effectRef idx="0">
                          <a:scrgbClr r="0" g="0" b="0"/>
                        </a:effectRef>
                        <a:fontRef idx="none"/>
                      </wps:style>
                      <wps:bodyPr/>
                    </wps:wsp>
                    <pic:pic xmlns:pic="http://schemas.openxmlformats.org/drawingml/2006/picture">
                      <pic:nvPicPr>
                        <pic:cNvPr id="2531" name="Picture 2531"/>
                        <pic:cNvPicPr/>
                      </pic:nvPicPr>
                      <pic:blipFill>
                        <a:blip r:embed="rId1"/>
                        <a:stretch>
                          <a:fillRect/>
                        </a:stretch>
                      </pic:blipFill>
                      <pic:spPr>
                        <a:xfrm>
                          <a:off x="1722600" y="3306065"/>
                          <a:ext cx="4114800" cy="4079870"/>
                        </a:xfrm>
                        <a:prstGeom prst="rect">
                          <a:avLst/>
                        </a:prstGeom>
                      </pic:spPr>
                    </pic:pic>
                  </wpg:wgp>
                </a:graphicData>
              </a:graphic>
            </wp:anchor>
          </w:drawing>
        </mc:Choice>
        <mc:Fallback xmlns:a="http://schemas.openxmlformats.org/drawingml/2006/main">
          <w:pict>
            <v:group id="Group 2529" style="width:595.276pt;height:841.89pt;position:absolute;z-index:-2147483648;mso-position-horizontal-relative:page;mso-position-horizontal:absolute;margin-left:0pt;mso-position-vertical-relative:page;margin-top:0pt;" coordsize="75600,106920">
              <v:shape id="Shape 2711" style="position:absolute;width:75600;height:106920;left:0;top:0;" coordsize="7560000,10692000" path="m0,0l7560000,0l7560000,10692000l0,10692000l0,0">
                <v:stroke weight="0pt" endcap="flat" joinstyle="miter" miterlimit="10" on="false" color="#000000" opacity="0"/>
                <v:fill on="true" color="#f8fcff"/>
              </v:shape>
              <v:shape id="Picture 2531" style="position:absolute;width:41148;height:40798;left:17226;top:33060;" filled="f">
                <v:imagedata r:id="rI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AFAC" w14:textId="77777777" w:rsidR="00524A57" w:rsidRDefault="00C23C2D">
    <w:r>
      <w:rPr>
        <w:noProof/>
        <w:color w:val="000000"/>
        <w:sz w:val="22"/>
      </w:rPr>
      <mc:AlternateContent>
        <mc:Choice Requires="wpg">
          <w:drawing>
            <wp:anchor distT="0" distB="0" distL="114300" distR="114300" simplePos="0" relativeHeight="251659264" behindDoc="1" locked="0" layoutInCell="1" allowOverlap="1" wp14:anchorId="40EAEC23" wp14:editId="0F71BEFA">
              <wp:simplePos x="0" y="0"/>
              <wp:positionH relativeFrom="page">
                <wp:posOffset>0</wp:posOffset>
              </wp:positionH>
              <wp:positionV relativeFrom="page">
                <wp:posOffset>0</wp:posOffset>
              </wp:positionV>
              <wp:extent cx="7560000" cy="10692000"/>
              <wp:effectExtent l="0" t="0" r="0" b="0"/>
              <wp:wrapNone/>
              <wp:docPr id="2513" name="Group 2513"/>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708" name="Shape 2708"/>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8FCFF"/>
                        </a:fillRef>
                        <a:effectRef idx="0">
                          <a:scrgbClr r="0" g="0" b="0"/>
                        </a:effectRef>
                        <a:fontRef idx="none"/>
                      </wps:style>
                      <wps:bodyPr/>
                    </wps:wsp>
                    <pic:pic xmlns:pic="http://schemas.openxmlformats.org/drawingml/2006/picture">
                      <pic:nvPicPr>
                        <pic:cNvPr id="2515" name="Picture 2515"/>
                        <pic:cNvPicPr/>
                      </pic:nvPicPr>
                      <pic:blipFill>
                        <a:blip r:embed="rId1"/>
                        <a:stretch>
                          <a:fillRect/>
                        </a:stretch>
                      </pic:blipFill>
                      <pic:spPr>
                        <a:xfrm>
                          <a:off x="1722600" y="3306065"/>
                          <a:ext cx="4114800" cy="4079870"/>
                        </a:xfrm>
                        <a:prstGeom prst="rect">
                          <a:avLst/>
                        </a:prstGeom>
                      </pic:spPr>
                    </pic:pic>
                  </wpg:wgp>
                </a:graphicData>
              </a:graphic>
            </wp:anchor>
          </w:drawing>
        </mc:Choice>
        <mc:Fallback xmlns:a="http://schemas.openxmlformats.org/drawingml/2006/main">
          <w:pict>
            <v:group id="Group 2513" style="width:595.276pt;height:841.89pt;position:absolute;z-index:-2147483648;mso-position-horizontal-relative:page;mso-position-horizontal:absolute;margin-left:0pt;mso-position-vertical-relative:page;margin-top:0pt;" coordsize="75600,106920">
              <v:shape id="Shape 2709" style="position:absolute;width:75600;height:106920;left:0;top:0;" coordsize="7560000,10692000" path="m0,0l7560000,0l7560000,10692000l0,10692000l0,0">
                <v:stroke weight="0pt" endcap="flat" joinstyle="miter" miterlimit="10" on="false" color="#000000" opacity="0"/>
                <v:fill on="true" color="#f8fcff"/>
              </v:shape>
              <v:shape id="Picture 2515" style="position:absolute;width:41148;height:40798;left:17226;top:33060;" filled="f">
                <v:imagedata r:id="rId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A4D3" w14:textId="77777777" w:rsidR="00524A57" w:rsidRDefault="00C23C2D">
    <w:r>
      <w:rPr>
        <w:noProof/>
        <w:color w:val="000000"/>
        <w:sz w:val="22"/>
      </w:rPr>
      <mc:AlternateContent>
        <mc:Choice Requires="wpg">
          <w:drawing>
            <wp:anchor distT="0" distB="0" distL="114300" distR="114300" simplePos="0" relativeHeight="251660288" behindDoc="1" locked="0" layoutInCell="1" allowOverlap="1" wp14:anchorId="554EBF69" wp14:editId="4911FDA1">
              <wp:simplePos x="0" y="0"/>
              <wp:positionH relativeFrom="page">
                <wp:posOffset>0</wp:posOffset>
              </wp:positionH>
              <wp:positionV relativeFrom="page">
                <wp:posOffset>0</wp:posOffset>
              </wp:positionV>
              <wp:extent cx="7560000" cy="10692000"/>
              <wp:effectExtent l="0" t="0" r="0" b="0"/>
              <wp:wrapNone/>
              <wp:docPr id="2497" name="Group 2497"/>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706" name="Shape 2706"/>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8FCFF"/>
                        </a:fillRef>
                        <a:effectRef idx="0">
                          <a:scrgbClr r="0" g="0" b="0"/>
                        </a:effectRef>
                        <a:fontRef idx="none"/>
                      </wps:style>
                      <wps:bodyPr/>
                    </wps:wsp>
                    <pic:pic xmlns:pic="http://schemas.openxmlformats.org/drawingml/2006/picture">
                      <pic:nvPicPr>
                        <pic:cNvPr id="2499" name="Picture 2499"/>
                        <pic:cNvPicPr/>
                      </pic:nvPicPr>
                      <pic:blipFill>
                        <a:blip r:embed="rId1"/>
                        <a:stretch>
                          <a:fillRect/>
                        </a:stretch>
                      </pic:blipFill>
                      <pic:spPr>
                        <a:xfrm>
                          <a:off x="1722600" y="3306065"/>
                          <a:ext cx="4114800" cy="4079870"/>
                        </a:xfrm>
                        <a:prstGeom prst="rect">
                          <a:avLst/>
                        </a:prstGeom>
                      </pic:spPr>
                    </pic:pic>
                  </wpg:wgp>
                </a:graphicData>
              </a:graphic>
            </wp:anchor>
          </w:drawing>
        </mc:Choice>
        <mc:Fallback xmlns:a="http://schemas.openxmlformats.org/drawingml/2006/main">
          <w:pict>
            <v:group id="Group 2497" style="width:595.276pt;height:841.89pt;position:absolute;z-index:-2147483648;mso-position-horizontal-relative:page;mso-position-horizontal:absolute;margin-left:0pt;mso-position-vertical-relative:page;margin-top:0pt;" coordsize="75600,106920">
              <v:shape id="Shape 2707" style="position:absolute;width:75600;height:106920;left:0;top:0;" coordsize="7560000,10692000" path="m0,0l7560000,0l7560000,10692000l0,10692000l0,0">
                <v:stroke weight="0pt" endcap="flat" joinstyle="miter" miterlimit="10" on="false" color="#000000" opacity="0"/>
                <v:fill on="true" color="#f8fcff"/>
              </v:shape>
              <v:shape id="Picture 2499" style="position:absolute;width:41148;height:40798;left:17226;top:3306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C7683"/>
    <w:multiLevelType w:val="hybridMultilevel"/>
    <w:tmpl w:val="FFFFFFFF"/>
    <w:lvl w:ilvl="0" w:tplc="7F0A02DA">
      <w:start w:val="1"/>
      <w:numFmt w:val="bullet"/>
      <w:lvlText w:val="•"/>
      <w:lvlJc w:val="left"/>
      <w:pPr>
        <w:ind w:left="165"/>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1" w:tplc="E1C286FE">
      <w:start w:val="1"/>
      <w:numFmt w:val="bullet"/>
      <w:lvlText w:val="o"/>
      <w:lvlJc w:val="left"/>
      <w:pPr>
        <w:ind w:left="108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2" w:tplc="46D4B140">
      <w:start w:val="1"/>
      <w:numFmt w:val="bullet"/>
      <w:lvlText w:val="▪"/>
      <w:lvlJc w:val="left"/>
      <w:pPr>
        <w:ind w:left="180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3" w:tplc="93FCB7DC">
      <w:start w:val="1"/>
      <w:numFmt w:val="bullet"/>
      <w:lvlText w:val="•"/>
      <w:lvlJc w:val="left"/>
      <w:pPr>
        <w:ind w:left="252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4" w:tplc="FFB2F904">
      <w:start w:val="1"/>
      <w:numFmt w:val="bullet"/>
      <w:lvlText w:val="o"/>
      <w:lvlJc w:val="left"/>
      <w:pPr>
        <w:ind w:left="324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5" w:tplc="97447AE6">
      <w:start w:val="1"/>
      <w:numFmt w:val="bullet"/>
      <w:lvlText w:val="▪"/>
      <w:lvlJc w:val="left"/>
      <w:pPr>
        <w:ind w:left="396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6" w:tplc="5CF8EDF0">
      <w:start w:val="1"/>
      <w:numFmt w:val="bullet"/>
      <w:lvlText w:val="•"/>
      <w:lvlJc w:val="left"/>
      <w:pPr>
        <w:ind w:left="468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7" w:tplc="C7FCADDC">
      <w:start w:val="1"/>
      <w:numFmt w:val="bullet"/>
      <w:lvlText w:val="o"/>
      <w:lvlJc w:val="left"/>
      <w:pPr>
        <w:ind w:left="540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lvl w:ilvl="8" w:tplc="49FA886E">
      <w:start w:val="1"/>
      <w:numFmt w:val="bullet"/>
      <w:lvlText w:val="▪"/>
      <w:lvlJc w:val="left"/>
      <w:pPr>
        <w:ind w:left="6120"/>
      </w:pPr>
      <w:rPr>
        <w:rFonts w:ascii="Calibri" w:eastAsia="Calibri" w:hAnsi="Calibri" w:cs="Calibri"/>
        <w:b w:val="0"/>
        <w:i w:val="0"/>
        <w:strike w:val="0"/>
        <w:dstrike w:val="0"/>
        <w:color w:val="263238"/>
        <w:sz w:val="18"/>
        <w:szCs w:val="18"/>
        <w:u w:val="none" w:color="000000"/>
        <w:bdr w:val="none" w:sz="0" w:space="0" w:color="auto"/>
        <w:shd w:val="clear" w:color="auto" w:fill="auto"/>
        <w:vertAlign w:val="baseline"/>
      </w:rPr>
    </w:lvl>
  </w:abstractNum>
  <w:abstractNum w:abstractNumId="1" w15:restartNumberingAfterBreak="0">
    <w:nsid w:val="7D3E7B2D"/>
    <w:multiLevelType w:val="hybridMultilevel"/>
    <w:tmpl w:val="FFFFFFFF"/>
    <w:lvl w:ilvl="0" w:tplc="A734FDB2">
      <w:start w:val="1"/>
      <w:numFmt w:val="decimal"/>
      <w:pStyle w:val="Heading1"/>
      <w:lvlText w:val="%1."/>
      <w:lvlJc w:val="left"/>
      <w:pPr>
        <w:ind w:left="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1" w:tplc="4B5EB42A">
      <w:start w:val="1"/>
      <w:numFmt w:val="lowerLetter"/>
      <w:lvlText w:val="%2"/>
      <w:lvlJc w:val="left"/>
      <w:pPr>
        <w:ind w:left="108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2" w:tplc="2952B52C">
      <w:start w:val="1"/>
      <w:numFmt w:val="lowerRoman"/>
      <w:lvlText w:val="%3"/>
      <w:lvlJc w:val="left"/>
      <w:pPr>
        <w:ind w:left="180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3" w:tplc="DBB089AA">
      <w:start w:val="1"/>
      <w:numFmt w:val="decimal"/>
      <w:lvlText w:val="%4"/>
      <w:lvlJc w:val="left"/>
      <w:pPr>
        <w:ind w:left="252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4" w:tplc="DBAA8A1A">
      <w:start w:val="1"/>
      <w:numFmt w:val="lowerLetter"/>
      <w:lvlText w:val="%5"/>
      <w:lvlJc w:val="left"/>
      <w:pPr>
        <w:ind w:left="324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5" w:tplc="6792E09E">
      <w:start w:val="1"/>
      <w:numFmt w:val="lowerRoman"/>
      <w:lvlText w:val="%6"/>
      <w:lvlJc w:val="left"/>
      <w:pPr>
        <w:ind w:left="396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6" w:tplc="988EE4B8">
      <w:start w:val="1"/>
      <w:numFmt w:val="decimal"/>
      <w:lvlText w:val="%7"/>
      <w:lvlJc w:val="left"/>
      <w:pPr>
        <w:ind w:left="468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7" w:tplc="F4B6782E">
      <w:start w:val="1"/>
      <w:numFmt w:val="lowerLetter"/>
      <w:lvlText w:val="%8"/>
      <w:lvlJc w:val="left"/>
      <w:pPr>
        <w:ind w:left="540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lvl w:ilvl="8" w:tplc="2056FFC4">
      <w:start w:val="1"/>
      <w:numFmt w:val="lowerRoman"/>
      <w:lvlText w:val="%9"/>
      <w:lvlJc w:val="left"/>
      <w:pPr>
        <w:ind w:left="6120"/>
      </w:pPr>
      <w:rPr>
        <w:rFonts w:ascii="Calibri" w:eastAsia="Calibri" w:hAnsi="Calibri" w:cs="Calibri"/>
        <w:b/>
        <w:bCs/>
        <w:i w:val="0"/>
        <w:strike w:val="0"/>
        <w:dstrike w:val="0"/>
        <w:color w:val="385A72"/>
        <w:sz w:val="28"/>
        <w:szCs w:val="28"/>
        <w:u w:val="none" w:color="000000"/>
        <w:bdr w:val="none" w:sz="0" w:space="0" w:color="auto"/>
        <w:shd w:val="clear" w:color="auto" w:fill="auto"/>
        <w:vertAlign w:val="baseline"/>
      </w:rPr>
    </w:lvl>
  </w:abstractNum>
  <w:num w:numId="1" w16cid:durableId="946280361">
    <w:abstractNumId w:val="0"/>
  </w:num>
  <w:num w:numId="2" w16cid:durableId="1218972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A57"/>
    <w:rsid w:val="00151C22"/>
    <w:rsid w:val="00524A57"/>
    <w:rsid w:val="00C23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D3A26E"/>
  <w15:docId w15:val="{443B7E1E-3DBC-3344-9D65-041A3285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9" w:lineRule="auto"/>
      <w:ind w:left="10" w:hanging="10"/>
    </w:pPr>
    <w:rPr>
      <w:rFonts w:ascii="Calibri" w:eastAsia="Calibri" w:hAnsi="Calibri" w:cs="Calibri"/>
      <w:color w:val="263238"/>
      <w:sz w:val="18"/>
    </w:rPr>
  </w:style>
  <w:style w:type="paragraph" w:styleId="Heading1">
    <w:name w:val="heading 1"/>
    <w:next w:val="Normal"/>
    <w:link w:val="Heading1Char"/>
    <w:uiPriority w:val="9"/>
    <w:qFormat/>
    <w:pPr>
      <w:keepNext/>
      <w:keepLines/>
      <w:numPr>
        <w:numId w:val="2"/>
      </w:numPr>
      <w:spacing w:after="13" w:line="259" w:lineRule="auto"/>
      <w:ind w:left="10" w:hanging="10"/>
      <w:outlineLvl w:val="0"/>
    </w:pPr>
    <w:rPr>
      <w:rFonts w:ascii="Calibri" w:eastAsia="Calibri" w:hAnsi="Calibri" w:cs="Calibri"/>
      <w:b/>
      <w:color w:val="385A7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85A72"/>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8" Type="http://schemas.openxmlformats.org/officeDocument/2006/relationships/image" Target="media/image0.jpg" /><Relationship Id="rId1" Type="http://schemas.openxmlformats.org/officeDocument/2006/relationships/image" Target="media/image2.jpg" /></Relationships>
</file>

<file path=word/_rels/header2.xml.rels><?xml version="1.0" encoding="UTF-8" standalone="yes"?>
<Relationships xmlns="http://schemas.openxmlformats.org/package/2006/relationships"><Relationship Id="rId8" Type="http://schemas.openxmlformats.org/officeDocument/2006/relationships/image" Target="media/image0.jpg" /><Relationship Id="rId1" Type="http://schemas.openxmlformats.org/officeDocument/2006/relationships/image" Target="media/image2.jpg" /></Relationships>
</file>

<file path=word/_rels/header3.xml.rels><?xml version="1.0" encoding="UTF-8" standalone="yes"?>
<Relationships xmlns="http://schemas.openxmlformats.org/package/2006/relationships"><Relationship Id="rId8" Type="http://schemas.openxmlformats.org/officeDocument/2006/relationships/image" Target="media/image0.jpg" /><Relationship Id="rId1" Type="http://schemas.openxmlformats.org/officeDocument/2006/relationships/image" Target="media/image2.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Nishtha Tiwari</cp:lastModifiedBy>
  <cp:revision>2</cp:revision>
  <dcterms:created xsi:type="dcterms:W3CDTF">2026-09-27T11:15:00Z</dcterms:created>
  <dcterms:modified xsi:type="dcterms:W3CDTF">2026-09-27T11:15:00Z</dcterms:modified>
</cp:coreProperties>
</file>