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Рассматривать 2 случая ведения боевых действий по модели Ланчестера: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Изучать модель Ланчестера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для обеих армий</w:t>
      </w:r>
    </w:p>
    <w:p>
      <w:pPr>
        <w:pStyle w:val="Compact"/>
        <w:numPr>
          <w:ilvl w:val="0"/>
          <w:numId w:val="1001"/>
        </w:numPr>
      </w:pPr>
      <w:r>
        <w:t xml:space="preserve">Определить кто из них победитель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Будем рассматривать 2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2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2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2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0.664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159026"/>
            <wp:effectExtent b="0" l="0" r="0" t="0"/>
            <wp:docPr descr="График изменения численности в случае 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в случае 1 (Julia)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победитель.</w:t>
      </w:r>
    </w:p>
    <w:p>
      <w:pPr>
        <w:pStyle w:val="Compact"/>
        <w:numPr>
          <w:ilvl w:val="0"/>
          <w:numId w:val="1004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0.399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0.811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152285"/>
            <wp:effectExtent b="0" l="0" r="0" t="0"/>
            <wp:docPr descr="График изменения численности в случае 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в случае 2 (Julia)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победитель.</w:t>
      </w:r>
    </w:p>
    <w:bookmarkEnd w:id="29"/>
    <w:bookmarkStart w:id="30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OrdinaryDiffEq</w:t>
      </w:r>
      <w:r>
        <w:br/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x0 = 25000;   #численность первой армии</w:t>
      </w:r>
      <w:r>
        <w:br/>
      </w:r>
      <w:r>
        <w:rPr>
          <w:rStyle w:val="VerbatimChar"/>
        </w:rPr>
        <w:t xml:space="preserve">y0 = 39000;    #численность второй армии</w:t>
      </w:r>
      <w:r>
        <w:br/>
      </w:r>
      <w:r>
        <w:br/>
      </w:r>
      <w:r>
        <w:rPr>
          <w:rStyle w:val="VerbatimChar"/>
        </w:rPr>
        <w:t xml:space="preserve">t0 = 0;    #начальный момент времени</w:t>
      </w:r>
      <w:r>
        <w:br/>
      </w:r>
      <w:r>
        <w:rPr>
          <w:rStyle w:val="VerbatimChar"/>
        </w:rPr>
        <w:t xml:space="preserve">a = 0.441;   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0.773;    #эффективность боевых действий армии у</w:t>
      </w:r>
      <w:r>
        <w:br/>
      </w:r>
      <w:r>
        <w:rPr>
          <w:rStyle w:val="VerbatimChar"/>
        </w:rPr>
        <w:t xml:space="preserve">c = 0.55;   #эффективность боевых действий армии х</w:t>
      </w:r>
      <w:r>
        <w:br/>
      </w:r>
      <w:r>
        <w:rPr>
          <w:rStyle w:val="VerbatimChar"/>
        </w:rPr>
        <w:t xml:space="preserve">h = 0.664;   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tmax = 1;   #предельный момент времени</w:t>
      </w:r>
      <w:r>
        <w:br/>
      </w:r>
      <w:r>
        <w:br/>
      </w:r>
      <w:r>
        <w:rPr>
          <w:rStyle w:val="VerbatimChar"/>
        </w:rPr>
        <w:t xml:space="preserve">t = (t0;tmax);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P(t)      #возможность подхода подкрепления к армии х</w:t>
      </w:r>
      <w:r>
        <w:br/>
      </w:r>
      <w:r>
        <w:rPr>
          <w:rStyle w:val="VerbatimChar"/>
        </w:rPr>
        <w:t xml:space="preserve">    p = sin(2*t) + 1;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Q(t)      #возможность подхода подкрепления к армии у</w:t>
      </w:r>
      <w:r>
        <w:br/>
      </w:r>
      <w:r>
        <w:rPr>
          <w:rStyle w:val="VerbatimChar"/>
        </w:rPr>
        <w:t xml:space="preserve">    q = cos(2*t) + 1;</w:t>
      </w:r>
      <w:r>
        <w:br/>
      </w:r>
      <w:r>
        <w:rPr>
          <w:rStyle w:val="VerbatimChar"/>
        </w:rPr>
        <w:t xml:space="preserve">    return q;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- a*u[1] - b*u[2] + P(t);        #изменение численности первой армии</w:t>
      </w:r>
      <w:r>
        <w:br/>
      </w:r>
      <w:r>
        <w:rPr>
          <w:rStyle w:val="VerbatimChar"/>
        </w:rPr>
        <w:t xml:space="preserve">    du[2] = - c*u[1] - h*u[2] + Q(t);   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v0 = [x0;y0];    #Вектор начальных условий</w:t>
      </w:r>
      <w:r>
        <w:br/>
      </w:r>
      <w:r>
        <w:br/>
      </w:r>
      <w:r>
        <w:rPr>
          <w:rStyle w:val="VerbatimChar"/>
        </w:rPr>
        <w:t xml:space="preserve">prob = ODEProblem(f, v0,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vars=(1), label = "Численность армии X", title = "Регулярные войски")</w:t>
      </w:r>
      <w:r>
        <w:br/>
      </w:r>
      <w:r>
        <w:rPr>
          <w:rStyle w:val="VerbatimChar"/>
        </w:rPr>
        <w:t xml:space="preserve">plot!(sol, vars=(2), label = "Численность армии Y")</w:t>
      </w:r>
      <w:r>
        <w:br/>
      </w:r>
      <w:r>
        <w:br/>
      </w:r>
      <w:r>
        <w:br/>
      </w:r>
      <w:r>
        <w:rPr>
          <w:rStyle w:val="VerbatimChar"/>
        </w:rPr>
        <w:t xml:space="preserve">a = 0.399;   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0.688;    #эффективность боевых действий армии у</w:t>
      </w:r>
      <w:r>
        <w:br/>
      </w:r>
      <w:r>
        <w:rPr>
          <w:rStyle w:val="VerbatimChar"/>
        </w:rPr>
        <w:t xml:space="preserve">c = 0.299;   #эффективность боевых действий армии х</w:t>
      </w:r>
      <w:r>
        <w:br/>
      </w:r>
      <w:r>
        <w:rPr>
          <w:rStyle w:val="VerbatimChar"/>
        </w:rPr>
        <w:t xml:space="preserve">h = 0.811;    #константа, характеризующая степень влияния различных факторов на потери</w:t>
      </w:r>
      <w:r>
        <w:br/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P(t)      #возможность подхода подкрепления к армии х</w:t>
      </w:r>
      <w:r>
        <w:br/>
      </w:r>
      <w:r>
        <w:rPr>
          <w:rStyle w:val="VerbatimChar"/>
        </w:rPr>
        <w:t xml:space="preserve">    p = sin(2*t) + 2;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Q(t)      #возможность подхода подкрепления к армии у</w:t>
      </w:r>
      <w:r>
        <w:br/>
      </w:r>
      <w:r>
        <w:rPr>
          <w:rStyle w:val="VerbatimChar"/>
        </w:rPr>
        <w:t xml:space="preserve">    q = cos(3*t) + 1;</w:t>
      </w:r>
      <w:r>
        <w:br/>
      </w:r>
      <w:r>
        <w:rPr>
          <w:rStyle w:val="VerbatimChar"/>
        </w:rPr>
        <w:t xml:space="preserve">    return q;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- a*u[1] - b*u[2] + P(t);        #изменение численности первой армии</w:t>
      </w:r>
      <w:r>
        <w:br/>
      </w:r>
      <w:r>
        <w:rPr>
          <w:rStyle w:val="VerbatimChar"/>
        </w:rPr>
        <w:t xml:space="preserve">    du[2] = - c*u[1]*u[2] - h*u[2] + Q(t);   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v0 = [x0;y0];    #Вектор начальных условий</w:t>
      </w:r>
      <w:r>
        <w:br/>
      </w:r>
      <w:r>
        <w:br/>
      </w:r>
      <w:r>
        <w:rPr>
          <w:rStyle w:val="VerbatimChar"/>
        </w:rPr>
        <w:t xml:space="preserve">prob = ODEProblem(f, v0,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vars=(1), linewidth = 2, label = "Численность армии X", title = "Регулярные войски и партизанские отряды")</w:t>
      </w:r>
      <w:r>
        <w:br/>
      </w:r>
      <w:r>
        <w:rPr>
          <w:rStyle w:val="VerbatimChar"/>
        </w:rPr>
        <w:t xml:space="preserve">plot!(sol, vars=(2), linewidth = 2, label = "Численность армии Y")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моделями Ланчестера 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Законы Осипова — Ланчестера</w:t>
        </w:r>
      </w:hyperlink>
    </w:p>
    <w:p>
      <w:pPr>
        <w:pStyle w:val="Compact"/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Дифференциальные уравнения динамики боя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Нзита Диатезилуа Катенди</dc:creator>
  <dc:language>ru-RU</dc:language>
  <cp:keywords/>
  <dcterms:created xsi:type="dcterms:W3CDTF">2024-04-20T07:43:24Z</dcterms:created>
  <dcterms:modified xsi:type="dcterms:W3CDTF">2024-04-20T07:43:24Z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Боевых Действий-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