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фвзоывй портрет гармонического осциллятора и решение уравнения гармонического осциллятора.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№ 51</w:t>
      </w:r>
      <w:r>
        <w:t xml:space="preserve"> </w:t>
      </w: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2.7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На интервале $ = (0, 59)$ (шаг 0.05) с начальными условиями $x0 = 1.7 и $y0 = -0.2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d</m:t>
          </m:r>
          <m:r>
            <m:t>o</m:t>
          </m:r>
          <m:r>
            <m:t>t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 gamma 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 omega – собственная частота колебаний, $t – время.</w:t>
      </w:r>
    </w:p>
    <w:p>
      <w:pPr>
        <w:pStyle w:val="BodyText"/>
      </w:pPr>
      <w:r>
        <w:t xml:space="preserve">При отсутствии потерь в системе вместо уравнения получаем уравнение консервативного осциллятора энергия колебания которого сохраняется во времени.</w:t>
      </w:r>
      <w:r>
        <w:t xml:space="preserve"> </w:t>
      </w:r>
      <w:r>
        <w:t xml:space="preserve">Для однозначной разрешимости уравнения второго порядка (2) необходимо задать два начальных условия.</w:t>
      </w:r>
    </w:p>
    <w:p>
      <w:pPr>
        <w:pStyle w:val="BodyText"/>
      </w:pPr>
      <w:r>
        <w:t xml:space="preserve">Независимые переменные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X844095aec384eb93d1b579efb3a43c73e9312b0"/>
    <w:p>
      <w:pPr>
        <w:pStyle w:val="Heading2"/>
      </w:pPr>
      <w:r>
        <w:t xml:space="preserve">Построение графиков колкбания гармогического осциллятора и фазовых портретов</w:t>
      </w:r>
    </w:p>
    <w:p>
      <w:pPr>
        <w:pStyle w:val="FirstParagraph"/>
      </w:pPr>
      <w:r>
        <w:t xml:space="preserve">Построим графики изменения численности войск. Далее приведён код на языке Julia, решающий задачу:</w:t>
      </w:r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#Параметры осциллятора</w:t>
      </w:r>
      <w:r>
        <w:t xml:space="preserve"> </w:t>
      </w:r>
      <w:r>
        <w:t xml:space="preserve">#x’’ + g* x’ + w^2* x = f(t)</w:t>
      </w:r>
      <w:r>
        <w:t xml:space="preserve"> </w:t>
      </w:r>
      <w:r>
        <w:t xml:space="preserve">#w - частота</w:t>
      </w:r>
      <w:r>
        <w:t xml:space="preserve"> </w:t>
      </w:r>
      <w:r>
        <w:t xml:space="preserve">#g - затухание</w:t>
      </w:r>
    </w:p>
    <w:p>
      <w:pPr>
        <w:pStyle w:val="BodyText"/>
      </w:pPr>
      <w:r>
        <w:t xml:space="preserve">w = 1.7;</w:t>
      </w:r>
      <w:r>
        <w:t xml:space="preserve"> </w:t>
      </w:r>
      <w:r>
        <w:t xml:space="preserve">g = 0.00;</w:t>
      </w:r>
    </w:p>
    <w:p>
      <w:pPr>
        <w:pStyle w:val="BodyText"/>
      </w:pPr>
      <w:r>
        <w:t xml:space="preserve">#Правая часть уравнения f(t)</w:t>
      </w:r>
    </w:p>
    <w:p>
      <w:pPr>
        <w:pStyle w:val="BodyText"/>
      </w:pPr>
      <w:r>
        <w:t xml:space="preserve">#Правая часть уравнения f(t)</w:t>
      </w:r>
    </w:p>
    <w:p>
      <w:pPr>
        <w:pStyle w:val="BodyText"/>
      </w:pPr>
      <w:r>
        <w:t xml:space="preserve">function f(t)</w:t>
      </w:r>
      <w:r>
        <w:t xml:space="preserve"> </w:t>
      </w:r>
      <w:r>
        <w:t xml:space="preserve">f = 0;</w:t>
      </w:r>
      <w:r>
        <w:t xml:space="preserve"> </w:t>
      </w:r>
      <w:r>
        <w:t xml:space="preserve">return f;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#Вектор-функция f(t, x)</w:t>
      </w:r>
      <w:r>
        <w:t xml:space="preserve"> </w:t>
      </w:r>
      <w:r>
        <w:t xml:space="preserve">#для решения системы дифференциальных уравнений</w:t>
      </w:r>
      <w:r>
        <w:t xml:space="preserve"> </w:t>
      </w:r>
      <w:r>
        <w:t xml:space="preserve">#x’ = y(t, x)</w:t>
      </w:r>
      <w:r>
        <w:t xml:space="preserve"> </w:t>
      </w:r>
      <w:r>
        <w:t xml:space="preserve">#где x - искомый вектор</w:t>
      </w:r>
    </w:p>
    <w:p>
      <w:pPr>
        <w:pStyle w:val="BodyText"/>
      </w:pPr>
      <w:r>
        <w:t xml:space="preserve">function y(du, u, p, t)</w:t>
      </w:r>
      <w:r>
        <w:t xml:space="preserve"> </w:t>
      </w:r>
      <w:r>
        <w:t xml:space="preserve">du[1] = u[2];</w:t>
      </w:r>
      <w:r>
        <w:t xml:space="preserve"> </w:t>
      </w:r>
      <w:r>
        <w:t xml:space="preserve">du[2] = -w.* w.* u[1] - g.* u[2] + f(t);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#Точка, в которой заданы</w:t>
      </w:r>
      <w:r>
        <w:t xml:space="preserve"> </w:t>
      </w:r>
      <w:r>
        <w:t xml:space="preserve">#начальные условия</w:t>
      </w:r>
    </w:p>
    <w:p>
      <w:pPr>
        <w:pStyle w:val="BodyText"/>
      </w:pPr>
      <w:r>
        <w:t xml:space="preserve">#t0 = 0;</w:t>
      </w:r>
    </w:p>
    <w:p>
      <w:pPr>
        <w:pStyle w:val="BodyText"/>
      </w:pPr>
      <w:r>
        <w:t xml:space="preserve">#Вектор начальных условий</w:t>
      </w:r>
      <w:r>
        <w:t xml:space="preserve"> </w:t>
      </w:r>
      <w:r>
        <w:t xml:space="preserve">#x(t0) = x0</w:t>
      </w:r>
    </w:p>
    <w:p>
      <w:pPr>
        <w:pStyle w:val="BodyText"/>
      </w:pPr>
      <w:r>
        <w:t xml:space="preserve">v0 = [1.7; -0.2];</w:t>
      </w:r>
    </w:p>
    <w:p>
      <w:pPr>
        <w:pStyle w:val="BodyText"/>
      </w:pPr>
      <w:r>
        <w:t xml:space="preserve">#Интервал на котором будет</w:t>
      </w:r>
      <w:r>
        <w:t xml:space="preserve"> </w:t>
      </w:r>
      <w:r>
        <w:t xml:space="preserve">#решаться задача</w:t>
      </w:r>
    </w:p>
    <w:p>
      <w:pPr>
        <w:pStyle w:val="BodyText"/>
      </w:pPr>
      <w:r>
        <w:t xml:space="preserve">t = (0; 59);</w:t>
      </w:r>
    </w:p>
    <w:p>
      <w:pPr>
        <w:pStyle w:val="BodyText"/>
      </w:pPr>
      <w:r>
        <w:t xml:space="preserve">#Решаем дифференциальные уравнения</w:t>
      </w:r>
      <w:r>
        <w:t xml:space="preserve"> </w:t>
      </w:r>
      <w:r>
        <w:t xml:space="preserve">#с начальным условием x(t0) = x0</w:t>
      </w:r>
      <w:r>
        <w:t xml:space="preserve"> </w:t>
      </w:r>
      <w:r>
        <w:t xml:space="preserve">#на интервале t</w:t>
      </w:r>
      <w:r>
        <w:t xml:space="preserve"> </w:t>
      </w:r>
      <w:r>
        <w:t xml:space="preserve">#с правой частью, заданной y</w:t>
      </w:r>
      <w:r>
        <w:t xml:space="preserve"> </w:t>
      </w:r>
      <w:r>
        <w:t xml:space="preserve">#и записываем решение в матрицу x</w:t>
      </w:r>
    </w:p>
    <w:p>
      <w:pPr>
        <w:pStyle w:val="BodyText"/>
      </w:pPr>
      <w:r>
        <w:t xml:space="preserve">prob = ODEProblem(y, v0, t);</w:t>
      </w:r>
      <w:r>
        <w:t xml:space="preserve"> </w:t>
      </w:r>
      <w:r>
        <w:t xml:space="preserve">sol = solve(prob, dt = 0.05);</w:t>
      </w:r>
    </w:p>
    <w:p>
      <w:pPr>
        <w:pStyle w:val="BodyText"/>
      </w:pPr>
      <w:r>
        <w:t xml:space="preserve">#Переписываем отдельно</w:t>
      </w:r>
      <w:r>
        <w:t xml:space="preserve"> </w:t>
      </w:r>
      <w:r>
        <w:t xml:space="preserve">#x в y1, x’ в y2</w:t>
      </w:r>
    </w:p>
    <w:p>
      <w:pPr>
        <w:pStyle w:val="BodyText"/>
      </w:pPr>
      <w:r>
        <w:t xml:space="preserve">y1 = [];</w:t>
      </w:r>
      <w:r>
        <w:t xml:space="preserve"> </w:t>
      </w:r>
      <w:r>
        <w:t xml:space="preserve">y2 = [];</w:t>
      </w:r>
    </w:p>
    <w:p>
      <w:pPr>
        <w:pStyle w:val="BodyText"/>
      </w:pPr>
      <w:r>
        <w:t xml:space="preserve">for value in sol.u</w:t>
      </w:r>
      <w:r>
        <w:t xml:space="preserve"> </w:t>
      </w:r>
      <w:r>
        <w:t xml:space="preserve">push!(y1, value[1]);</w:t>
      </w:r>
      <w:r>
        <w:t xml:space="preserve"> </w:t>
      </w:r>
      <w:r>
        <w:t xml:space="preserve">push!(y2, value[2]);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display(plot(y1, y2, legend=:topright, label = ” Фазовый портрет”));</w:t>
      </w:r>
      <w:r>
        <w:t xml:space="preserve"> </w:t>
      </w:r>
      <w:r>
        <w:t xml:space="preserve">savefig(</w:t>
      </w:r>
      <w:r>
        <w:t xml:space="preserve">“</w:t>
      </w:r>
      <w:r>
        <w:t xml:space="preserve">myplot.png</w:t>
      </w:r>
      <w:r>
        <w:t xml:space="preserve">”</w:t>
      </w:r>
      <w:r>
        <w:t xml:space="preserve">)</w:t>
      </w:r>
    </w:p>
    <w:bookmarkEnd w:id="23"/>
    <w:bookmarkEnd w:id="24"/>
    <w:bookmarkStart w:id="34" w:name="второй-случай"/>
    <w:p>
      <w:pPr>
        <w:pStyle w:val="Heading1"/>
      </w:pPr>
      <w:r>
        <w:t xml:space="preserve">Второй случай</w:t>
      </w:r>
    </w:p>
    <w:p>
      <w:pPr>
        <w:pStyle w:val="FirstParagraph"/>
      </w:pPr>
      <w:r>
        <w:t xml:space="preserve">#Параметры осциллятора</w:t>
      </w:r>
      <w:r>
        <w:t xml:space="preserve"> </w:t>
      </w:r>
      <w:r>
        <w:t xml:space="preserve">#x’’ + g* x’ + w^2* x = f(t)</w:t>
      </w:r>
      <w:r>
        <w:t xml:space="preserve"> </w:t>
      </w:r>
      <w:r>
        <w:t xml:space="preserve">#w - частота</w:t>
      </w:r>
      <w:r>
        <w:t xml:space="preserve"> </w:t>
      </w:r>
      <w:r>
        <w:t xml:space="preserve">#g - затухание</w:t>
      </w:r>
    </w:p>
    <w:p>
      <w:pPr>
        <w:pStyle w:val="BodyText"/>
      </w:pPr>
      <w:r>
        <w:t xml:space="preserve">w = 1.7;</w:t>
      </w:r>
      <w:r>
        <w:t xml:space="preserve"> </w:t>
      </w:r>
      <w:r>
        <w:t xml:space="preserve">g = 1.7;</w:t>
      </w:r>
    </w:p>
    <w:p>
      <w:pPr>
        <w:pStyle w:val="BodyText"/>
      </w:pPr>
      <w:r>
        <w:t xml:space="preserve">#Правая часть уравнения f(t)</w:t>
      </w:r>
    </w:p>
    <w:p>
      <w:pPr>
        <w:pStyle w:val="BodyText"/>
      </w:pPr>
      <w:r>
        <w:t xml:space="preserve">#Правая часть уравнения f(t)</w:t>
      </w:r>
    </w:p>
    <w:p>
      <w:pPr>
        <w:pStyle w:val="BodyText"/>
      </w:pPr>
      <w:r>
        <w:t xml:space="preserve">function f(t)</w:t>
      </w:r>
      <w:r>
        <w:t xml:space="preserve"> </w:t>
      </w:r>
      <w:r>
        <w:t xml:space="preserve">f = 0;</w:t>
      </w:r>
      <w:r>
        <w:t xml:space="preserve"> </w:t>
      </w:r>
      <w:r>
        <w:t xml:space="preserve">return f;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#Вектор-функция f(t, x)</w:t>
      </w:r>
      <w:r>
        <w:t xml:space="preserve"> </w:t>
      </w:r>
      <w:r>
        <w:t xml:space="preserve">#для решения системы дифференциальных уравнений</w:t>
      </w:r>
      <w:r>
        <w:t xml:space="preserve"> </w:t>
      </w:r>
      <w:r>
        <w:t xml:space="preserve">#x’ = y(t, x)</w:t>
      </w:r>
      <w:r>
        <w:t xml:space="preserve"> </w:t>
      </w:r>
      <w:r>
        <w:t xml:space="preserve">#где x - искомый вектор</w:t>
      </w:r>
    </w:p>
    <w:p>
      <w:pPr>
        <w:pStyle w:val="BodyText"/>
      </w:pPr>
      <w:r>
        <w:t xml:space="preserve">function y(du, u, p, t)</w:t>
      </w:r>
      <w:r>
        <w:t xml:space="preserve"> </w:t>
      </w:r>
      <w:r>
        <w:t xml:space="preserve">du[1] = u[2];</w:t>
      </w:r>
      <w:r>
        <w:t xml:space="preserve"> </w:t>
      </w:r>
      <w:r>
        <w:t xml:space="preserve">du[2] = -w.* w.* u[1] - g.* u[2] + f(t);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#Точка, в которой заданы</w:t>
      </w:r>
      <w:r>
        <w:t xml:space="preserve"> </w:t>
      </w:r>
      <w:r>
        <w:t xml:space="preserve">#начальные условия</w:t>
      </w:r>
    </w:p>
    <w:p>
      <w:pPr>
        <w:pStyle w:val="BodyText"/>
      </w:pPr>
      <w:r>
        <w:t xml:space="preserve">#t0 = 0;</w:t>
      </w:r>
    </w:p>
    <w:p>
      <w:pPr>
        <w:pStyle w:val="BodyText"/>
      </w:pPr>
      <w:r>
        <w:t xml:space="preserve">#Вектор начальных условий</w:t>
      </w:r>
      <w:r>
        <w:t xml:space="preserve"> </w:t>
      </w:r>
      <w:r>
        <w:t xml:space="preserve">#x(t0) = x0</w:t>
      </w:r>
    </w:p>
    <w:p>
      <w:pPr>
        <w:pStyle w:val="BodyText"/>
      </w:pPr>
      <w:r>
        <w:t xml:space="preserve">v0 = [1.7; -0.2];</w:t>
      </w:r>
    </w:p>
    <w:p>
      <w:pPr>
        <w:pStyle w:val="BodyText"/>
      </w:pPr>
      <w:r>
        <w:t xml:space="preserve">#Интервал на котором будет</w:t>
      </w:r>
      <w:r>
        <w:t xml:space="preserve"> </w:t>
      </w:r>
      <w:r>
        <w:t xml:space="preserve">#решаться задача</w:t>
      </w:r>
    </w:p>
    <w:p>
      <w:pPr>
        <w:pStyle w:val="BodyText"/>
      </w:pPr>
      <w:r>
        <w:t xml:space="preserve">t = (0; 59);</w:t>
      </w:r>
    </w:p>
    <w:p>
      <w:pPr>
        <w:pStyle w:val="BodyText"/>
      </w:pPr>
      <w:r>
        <w:t xml:space="preserve">#Решаем дифференциальные уравнения</w:t>
      </w:r>
      <w:r>
        <w:t xml:space="preserve"> </w:t>
      </w:r>
      <w:r>
        <w:t xml:space="preserve">#с начальным условием x(t0) = x0</w:t>
      </w:r>
      <w:r>
        <w:t xml:space="preserve"> </w:t>
      </w:r>
      <w:r>
        <w:t xml:space="preserve">#на интервале t</w:t>
      </w:r>
      <w:r>
        <w:t xml:space="preserve"> </w:t>
      </w:r>
      <w:r>
        <w:t xml:space="preserve">#с правой частью, заданной y</w:t>
      </w:r>
      <w:r>
        <w:t xml:space="preserve"> </w:t>
      </w:r>
      <w:r>
        <w:t xml:space="preserve">#и записываем решение в матрицу x</w:t>
      </w:r>
    </w:p>
    <w:p>
      <w:pPr>
        <w:pStyle w:val="BodyText"/>
      </w:pPr>
      <w:r>
        <w:t xml:space="preserve">prob = ODEProblem(y, v0, t);</w:t>
      </w:r>
      <w:r>
        <w:t xml:space="preserve"> </w:t>
      </w:r>
      <w:r>
        <w:t xml:space="preserve">sol = solve(prob, dt = 0.05);</w:t>
      </w:r>
    </w:p>
    <w:p>
      <w:pPr>
        <w:pStyle w:val="BodyText"/>
      </w:pPr>
      <w:r>
        <w:t xml:space="preserve">#Переписываем отдельно</w:t>
      </w:r>
      <w:r>
        <w:t xml:space="preserve"> </w:t>
      </w:r>
      <w:r>
        <w:t xml:space="preserve">#x в y1, x’ в y2</w:t>
      </w:r>
    </w:p>
    <w:p>
      <w:pPr>
        <w:pStyle w:val="BodyText"/>
      </w:pPr>
      <w:r>
        <w:t xml:space="preserve">y1 = [];</w:t>
      </w:r>
      <w:r>
        <w:t xml:space="preserve"> </w:t>
      </w:r>
      <w:r>
        <w:t xml:space="preserve">y2 = [];</w:t>
      </w:r>
    </w:p>
    <w:p>
      <w:pPr>
        <w:pStyle w:val="BodyText"/>
      </w:pPr>
      <w:r>
        <w:t xml:space="preserve">for value in sol.u</w:t>
      </w:r>
      <w:r>
        <w:t xml:space="preserve"> </w:t>
      </w:r>
      <w:r>
        <w:t xml:space="preserve">push!(y1, value[1]);</w:t>
      </w:r>
      <w:r>
        <w:t xml:space="preserve"> </w:t>
      </w:r>
      <w:r>
        <w:t xml:space="preserve">push!(y2, value[2]);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display(plot(y1, y2, legend=:topright, label = ” Второй случай”));</w:t>
      </w:r>
      <w:r>
        <w:t xml:space="preserve"> </w:t>
      </w:r>
      <w:r>
        <w:t xml:space="preserve">savefig(</w:t>
      </w:r>
      <w:r>
        <w:t xml:space="preserve">“</w:t>
      </w:r>
      <w:r>
        <w:t xml:space="preserve">myplot.png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#Трьетый случай</w:t>
      </w:r>
    </w:p>
    <w:p>
      <w:pPr>
        <w:pStyle w:val="BodyText"/>
      </w:pPr>
      <w:r>
        <w:t xml:space="preserve">#Параметры осциллятора</w:t>
      </w:r>
      <w:r>
        <w:t xml:space="preserve"> </w:t>
      </w:r>
      <w:r>
        <w:t xml:space="preserve">#x’’ + g* x’ + w^2* x = f(t)</w:t>
      </w:r>
      <w:r>
        <w:t xml:space="preserve"> </w:t>
      </w:r>
      <w:r>
        <w:t xml:space="preserve">#w - частота</w:t>
      </w:r>
      <w:r>
        <w:t xml:space="preserve"> </w:t>
      </w:r>
      <w:r>
        <w:t xml:space="preserve">#g - затухание</w:t>
      </w:r>
    </w:p>
    <w:p>
      <w:pPr>
        <w:pStyle w:val="BodyText"/>
      </w:pPr>
      <w:r>
        <w:t xml:space="preserve">w = 1.7;</w:t>
      </w:r>
      <w:r>
        <w:t xml:space="preserve"> </w:t>
      </w:r>
      <w:r>
        <w:t xml:space="preserve">g = 2;</w:t>
      </w:r>
    </w:p>
    <w:p>
      <w:pPr>
        <w:pStyle w:val="BodyText"/>
      </w:pPr>
      <w:r>
        <w:t xml:space="preserve">#Правая часть уравнения f(t)</w:t>
      </w:r>
    </w:p>
    <w:p>
      <w:pPr>
        <w:pStyle w:val="BodyText"/>
      </w:pPr>
      <w:r>
        <w:t xml:space="preserve">#Правая часть уравнения f(t)</w:t>
      </w:r>
    </w:p>
    <w:p>
      <w:pPr>
        <w:pStyle w:val="BodyText"/>
      </w:pPr>
      <w:r>
        <w:t xml:space="preserve">function f(t)</w:t>
      </w:r>
      <w:r>
        <w:t xml:space="preserve"> </w:t>
      </w:r>
      <w:r>
        <w:t xml:space="preserve">f = 0.7</w:t>
      </w:r>
      <w:r>
        <w:rPr>
          <w:i/>
          <w:iCs/>
        </w:rPr>
        <w:t xml:space="preserve">cos(2.7</w:t>
      </w:r>
      <w:r>
        <w:t xml:space="preserve">t);</w:t>
      </w:r>
      <w:r>
        <w:t xml:space="preserve"> </w:t>
      </w:r>
      <w:r>
        <w:t xml:space="preserve">return f;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#Вектор-функция f(t, x)</w:t>
      </w:r>
      <w:r>
        <w:t xml:space="preserve"> </w:t>
      </w:r>
      <w:r>
        <w:t xml:space="preserve">#для решения системы дифференциальных уравнений</w:t>
      </w:r>
      <w:r>
        <w:t xml:space="preserve"> </w:t>
      </w:r>
      <w:r>
        <w:t xml:space="preserve">#x’ = y(t, x)</w:t>
      </w:r>
      <w:r>
        <w:t xml:space="preserve"> </w:t>
      </w:r>
      <w:r>
        <w:t xml:space="preserve">#где x - искомый вектор</w:t>
      </w:r>
    </w:p>
    <w:p>
      <w:pPr>
        <w:pStyle w:val="BodyText"/>
      </w:pPr>
      <w:r>
        <w:t xml:space="preserve">function y(du, u, p, t)</w:t>
      </w:r>
      <w:r>
        <w:t xml:space="preserve"> </w:t>
      </w:r>
      <w:r>
        <w:t xml:space="preserve">du[1] = u[2];</w:t>
      </w:r>
      <w:r>
        <w:t xml:space="preserve"> </w:t>
      </w:r>
      <w:r>
        <w:t xml:space="preserve">du[2] = -w.* w.* u[1] - g.* u[2] + f(t);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#Точка, в которой заданы</w:t>
      </w:r>
      <w:r>
        <w:t xml:space="preserve"> </w:t>
      </w:r>
      <w:r>
        <w:t xml:space="preserve">#начальные условия</w:t>
      </w:r>
    </w:p>
    <w:p>
      <w:pPr>
        <w:pStyle w:val="BodyText"/>
      </w:pPr>
      <w:r>
        <w:t xml:space="preserve">#t0 = 0;</w:t>
      </w:r>
    </w:p>
    <w:p>
      <w:pPr>
        <w:pStyle w:val="BodyText"/>
      </w:pPr>
      <w:r>
        <w:t xml:space="preserve">#Вектор начальных условий</w:t>
      </w:r>
      <w:r>
        <w:t xml:space="preserve"> </w:t>
      </w:r>
      <w:r>
        <w:t xml:space="preserve">#x(t0) = x0</w:t>
      </w:r>
    </w:p>
    <w:p>
      <w:pPr>
        <w:pStyle w:val="BodyText"/>
      </w:pPr>
      <w:r>
        <w:t xml:space="preserve">v0 = [1.7; -0.2];</w:t>
      </w:r>
    </w:p>
    <w:p>
      <w:pPr>
        <w:pStyle w:val="BodyText"/>
      </w:pPr>
      <w:r>
        <w:t xml:space="preserve">#Интервал на котором будет</w:t>
      </w:r>
      <w:r>
        <w:t xml:space="preserve"> </w:t>
      </w:r>
      <w:r>
        <w:t xml:space="preserve">#решаться задача</w:t>
      </w:r>
    </w:p>
    <w:p>
      <w:pPr>
        <w:pStyle w:val="BodyText"/>
      </w:pPr>
      <w:r>
        <w:t xml:space="preserve">t = (0; 59);</w:t>
      </w:r>
    </w:p>
    <w:p>
      <w:pPr>
        <w:pStyle w:val="BodyText"/>
      </w:pPr>
      <w:r>
        <w:t xml:space="preserve">#Решаем дифференциальные уравнения</w:t>
      </w:r>
      <w:r>
        <w:t xml:space="preserve"> </w:t>
      </w:r>
      <w:r>
        <w:t xml:space="preserve">#с начальным условием x(t0) = x0</w:t>
      </w:r>
      <w:r>
        <w:t xml:space="preserve"> </w:t>
      </w:r>
      <w:r>
        <w:t xml:space="preserve">#на интервале t</w:t>
      </w:r>
      <w:r>
        <w:t xml:space="preserve"> </w:t>
      </w:r>
      <w:r>
        <w:t xml:space="preserve">#с правой частью, заданной y</w:t>
      </w:r>
      <w:r>
        <w:t xml:space="preserve"> </w:t>
      </w:r>
      <w:r>
        <w:t xml:space="preserve">#и записываем решение в матрицу x</w:t>
      </w:r>
    </w:p>
    <w:p>
      <w:pPr>
        <w:pStyle w:val="BodyText"/>
      </w:pPr>
      <w:r>
        <w:t xml:space="preserve">prob = ODEProblem(y, v0, t);</w:t>
      </w:r>
      <w:r>
        <w:t xml:space="preserve"> </w:t>
      </w:r>
      <w:r>
        <w:t xml:space="preserve">sol = solve(prob, dt = 0.05);</w:t>
      </w:r>
    </w:p>
    <w:p>
      <w:pPr>
        <w:pStyle w:val="BodyText"/>
      </w:pPr>
      <w:r>
        <w:t xml:space="preserve">#Переписываем отдельно</w:t>
      </w:r>
      <w:r>
        <w:t xml:space="preserve"> </w:t>
      </w:r>
      <w:r>
        <w:t xml:space="preserve">#x в y1, x’ в y2</w:t>
      </w:r>
    </w:p>
    <w:p>
      <w:pPr>
        <w:pStyle w:val="BodyText"/>
      </w:pPr>
      <w:r>
        <w:t xml:space="preserve">y1 = [];</w:t>
      </w:r>
      <w:r>
        <w:t xml:space="preserve"> </w:t>
      </w:r>
      <w:r>
        <w:t xml:space="preserve">y2 = [];</w:t>
      </w:r>
    </w:p>
    <w:p>
      <w:pPr>
        <w:pStyle w:val="BodyText"/>
      </w:pPr>
      <w:r>
        <w:t xml:space="preserve">for value in sol.u</w:t>
      </w:r>
      <w:r>
        <w:t xml:space="preserve"> </w:t>
      </w:r>
      <w:r>
        <w:t xml:space="preserve">push!(y1, value[1]);</w:t>
      </w:r>
      <w:r>
        <w:t xml:space="preserve"> </w:t>
      </w:r>
      <w:r>
        <w:t xml:space="preserve">push!(y2, value[2]);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display(plot(y1, y2, legend=:topright, label = ” Трьетый случай”));</w:t>
      </w:r>
      <w:r>
        <w:t xml:space="preserve"> </w:t>
      </w:r>
      <w:r>
        <w:t xml:space="preserve">savefig(</w:t>
      </w:r>
      <w:r>
        <w:t xml:space="preserve">“</w:t>
      </w:r>
      <w:r>
        <w:t xml:space="preserve">myplot.png</w:t>
      </w:r>
      <w:r>
        <w:t xml:space="preserve">”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результаты получим следующие графики</w:t>
      </w:r>
    </w:p>
    <w:p>
      <w:pPr>
        <w:pStyle w:val="BodyText"/>
      </w:pPr>
      <w:r>
        <w:t xml:space="preserve">Случай 1 (рис. 1)</w:t>
      </w:r>
    </w:p>
    <w:p>
      <w:pPr>
        <w:pStyle w:val="CaptionedFigure"/>
      </w:pPr>
      <w:r>
        <w:drawing>
          <wp:inline>
            <wp:extent cx="3733800" cy="2117537"/>
            <wp:effectExtent b="0" l="0" r="0" t="0"/>
            <wp:docPr descr="Случай 1" title="" id="26" name="Picture"/>
            <a:graphic>
              <a:graphicData uri="http://schemas.openxmlformats.org/drawingml/2006/picture">
                <pic:pic>
                  <pic:nvPicPr>
                    <pic:cNvPr descr="image/image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Случай 1</w:t>
      </w:r>
    </w:p>
    <w:p>
      <w:pPr>
        <w:pStyle w:val="BodyText"/>
      </w:pPr>
      <w:r>
        <w:t xml:space="preserve">Случай 2 (рис. 2)</w:t>
      </w:r>
    </w:p>
    <w:p>
      <w:pPr>
        <w:pStyle w:val="CaptionedFigure"/>
      </w:pPr>
      <w:r>
        <w:drawing>
          <wp:inline>
            <wp:extent cx="3733800" cy="2365075"/>
            <wp:effectExtent b="0" l="0" r="0" t="0"/>
            <wp:docPr descr="Случай 2" title="" id="29" name="Picture"/>
            <a:graphic>
              <a:graphicData uri="http://schemas.openxmlformats.org/drawingml/2006/picture">
                <pic:pic>
                  <pic:nvPicPr>
                    <pic:cNvPr descr="image/image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Случай 2</w:t>
      </w:r>
    </w:p>
    <w:p>
      <w:pPr>
        <w:pStyle w:val="BodyText"/>
      </w:pPr>
      <w:r>
        <w:t xml:space="preserve">Случай 3 (рис. 3)</w:t>
      </w:r>
    </w:p>
    <w:p>
      <w:pPr>
        <w:pStyle w:val="CaptionedFigure"/>
      </w:pPr>
      <w:r>
        <w:drawing>
          <wp:inline>
            <wp:extent cx="3733800" cy="2284788"/>
            <wp:effectExtent b="0" l="0" r="0" t="0"/>
            <wp:docPr descr="Случай 3" title="" id="32" name="Picture"/>
            <a:graphic>
              <a:graphicData uri="http://schemas.openxmlformats.org/drawingml/2006/picture">
                <pic:pic>
                  <pic:nvPicPr>
                    <pic:cNvPr descr="image/image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Случай 3</w:t>
      </w:r>
    </w:p>
    <w:p>
      <w:r>
        <w:pict>
          <v:rect style="width:0;height:1.5pt" o:hralign="center" o:hrstd="t" o:hr="t"/>
        </w:pic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научились строить фазовые портреты а также изучили гармонические колебания осциллятора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6">
        <w:r>
          <w:rPr>
            <w:rStyle w:val="Hyperlink"/>
          </w:rPr>
          <w:t xml:space="preserve">Модель гармонических колебаний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mod/resource/view.php?id=110026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system.rudn.ru/mod/resource/view.php?id=11002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Нзита Диатезилуа Катенди</dc:creator>
  <dc:language>ru-RU</dc:language>
  <cp:keywords/>
  <dcterms:created xsi:type="dcterms:W3CDTF">2024-04-20T07:44:42Z</dcterms:created>
  <dcterms:modified xsi:type="dcterms:W3CDTF">2024-04-20T07:44:42Z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гармонических колебаний - Вариант 51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