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Иследовать модель взаимодействия двух видов типа &lt;&lt;хищник - жертва&gt;&gt; -</w:t>
      </w:r>
      <w:r>
        <w:t xml:space="preserve"> </w:t>
      </w:r>
      <w:r>
        <w:t xml:space="preserve">Модель Лотки - Вольтерры и построить графики, используя изыки julia.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  <w:r>
        <w:t xml:space="preserve"> </w:t>
      </w: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r>
          <m:t>x</m:t>
        </m:r>
        <m:r>
          <m:t>0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m:oMath>
        <m:r>
          <m:t>y</m:t>
        </m:r>
        <m:r>
          <m:t>0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bookmarkEnd w:id="21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создание-проекта-код-на-julia"/>
    <w:p>
      <w:pPr>
        <w:pStyle w:val="Heading3"/>
      </w:pPr>
      <w:r>
        <w:t xml:space="preserve">Создание проекта (код на Julia)</w:t>
      </w:r>
    </w:p>
    <w:p>
      <w:pPr>
        <w:pStyle w:val="FirstParagraph"/>
      </w:pPr>
      <w:r>
        <w:t xml:space="preserve">using DifferentialEquations, Plots</w:t>
      </w:r>
    </w:p>
    <w:p>
      <w:pPr>
        <w:pStyle w:val="BodyText"/>
      </w:pPr>
      <w:r>
        <w:t xml:space="preserve">function run_lotka_volterra()</w:t>
      </w:r>
      <w:r>
        <w:t xml:space="preserve"> </w:t>
      </w:r>
      <w:r>
        <w:t xml:space="preserve">a = 0.28;</w:t>
      </w:r>
      <w:r>
        <w:t xml:space="preserve"> </w:t>
      </w:r>
      <w:r>
        <w:t xml:space="preserve">b = 0.028;</w:t>
      </w:r>
      <w:r>
        <w:t xml:space="preserve"> </w:t>
      </w:r>
      <w:r>
        <w:t xml:space="preserve">c = 0.29;</w:t>
      </w:r>
      <w:r>
        <w:t xml:space="preserve"> </w:t>
      </w:r>
      <w:r>
        <w:t xml:space="preserve">d = 0.029;</w:t>
      </w:r>
      <w:r>
        <w:t xml:space="preserve"> </w:t>
      </w:r>
      <w:r>
        <w:t xml:space="preserve">t = (0, 400);</w:t>
      </w:r>
    </w:p>
    <w:p>
      <w:pPr>
        <w:pStyle w:val="SourceCode"/>
      </w:pPr>
      <w:r>
        <w:rPr>
          <w:rStyle w:val="VerbatimChar"/>
        </w:rPr>
        <w:t xml:space="preserve">function syst!(dx, x, p, t)</w:t>
      </w:r>
      <w:r>
        <w:br/>
      </w:r>
      <w:r>
        <w:rPr>
          <w:rStyle w:val="VerbatimChar"/>
        </w:rPr>
        <w:t xml:space="preserve">    dx[1] = -a*x[1] + b .* x[1] * x[2];</w:t>
      </w:r>
      <w:r>
        <w:br/>
      </w:r>
      <w:r>
        <w:rPr>
          <w:rStyle w:val="VerbatimChar"/>
        </w:rPr>
        <w:t xml:space="preserve">    dx[2] = c * x[2] - d .* x[1] * x[2];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#при следующих начальных условиях:</w:t>
      </w:r>
      <w:r>
        <w:br/>
      </w:r>
      <w:r>
        <w:br/>
      </w:r>
      <w:r>
        <w:rPr>
          <w:rStyle w:val="VerbatimChar"/>
        </w:rPr>
        <w:t xml:space="preserve">x0 = [7, 21];</w:t>
      </w:r>
      <w:r>
        <w:br/>
      </w:r>
      <w:r>
        <w:br/>
      </w:r>
      <w:r>
        <w:rPr>
          <w:rStyle w:val="VerbatimChar"/>
        </w:rPr>
        <w:t xml:space="preserve">prob = ODEProblem(syst!, x0, t);</w:t>
      </w:r>
      <w:r>
        <w:br/>
      </w:r>
      <w:r>
        <w:rPr>
          <w:rStyle w:val="VerbatimChar"/>
        </w:rPr>
        <w:t xml:space="preserve">y = solve(prob, Tsit5(), saveat = 0.01);</w:t>
      </w:r>
      <w:r>
        <w:br/>
      </w:r>
      <w:r>
        <w:rPr>
          <w:rStyle w:val="VerbatimChar"/>
        </w:rPr>
        <w:t xml:space="preserve">u1 = Vector{Float64}()</w:t>
      </w:r>
      <w:r>
        <w:br/>
      </w:r>
      <w:r>
        <w:rPr>
          <w:rStyle w:val="VerbatimChar"/>
        </w:rPr>
        <w:t xml:space="preserve">u2 = Vector{Float64}()</w:t>
      </w:r>
      <w:r>
        <w:br/>
      </w:r>
      <w:r>
        <w:br/>
      </w:r>
      <w:r>
        <w:rPr>
          <w:rStyle w:val="VerbatimChar"/>
        </w:rPr>
        <w:t xml:space="preserve">t1 = collect(0:0.01:400)</w:t>
      </w:r>
      <w:r>
        <w:br/>
      </w:r>
      <w:r>
        <w:br/>
      </w:r>
      <w:r>
        <w:br/>
      </w:r>
      <w:r>
        <w:rPr>
          <w:rStyle w:val="VerbatimChar"/>
        </w:rPr>
        <w:t xml:space="preserve">for i in range(1, length(y.t))</w:t>
      </w:r>
      <w:r>
        <w:br/>
      </w:r>
      <w:r>
        <w:rPr>
          <w:rStyle w:val="VerbatimChar"/>
        </w:rPr>
        <w:t xml:space="preserve">        push!(u1, y.u[i][1]);</w:t>
      </w:r>
      <w:r>
        <w:br/>
      </w:r>
      <w:r>
        <w:rPr>
          <w:rStyle w:val="VerbatimChar"/>
        </w:rPr>
        <w:t xml:space="preserve">        push!(u2, y.u[i][2]);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plot(u1, u2, label = "Модель Лотки-Вольтерра")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run_lotka_volterra()</w:t>
      </w:r>
    </w:p>
    <w:bookmarkEnd w:id="22"/>
    <w:bookmarkEnd w:id="23"/>
    <w:bookmarkStart w:id="30" w:name="второй-случай"/>
    <w:p>
      <w:pPr>
        <w:pStyle w:val="Heading1"/>
      </w:pPr>
      <w:r>
        <w:t xml:space="preserve">Второй случай</w:t>
      </w:r>
    </w:p>
    <w:p>
      <w:pPr>
        <w:pStyle w:val="FirstParagraph"/>
      </w:pPr>
      <w:r>
        <w:t xml:space="preserve">function run_lotka_volterra()</w:t>
      </w:r>
      <w:r>
        <w:t xml:space="preserve"> </w:t>
      </w:r>
      <w:r>
        <w:t xml:space="preserve">a = 0.28;</w:t>
      </w:r>
      <w:r>
        <w:t xml:space="preserve"> </w:t>
      </w:r>
      <w:r>
        <w:t xml:space="preserve">b = 0.028;</w:t>
      </w:r>
      <w:r>
        <w:t xml:space="preserve"> </w:t>
      </w:r>
      <w:r>
        <w:t xml:space="preserve">c = 0.29;</w:t>
      </w:r>
      <w:r>
        <w:t xml:space="preserve"> </w:t>
      </w:r>
      <w:r>
        <w:t xml:space="preserve">d = 0.029;</w:t>
      </w:r>
      <w:r>
        <w:t xml:space="preserve"> </w:t>
      </w:r>
      <w:r>
        <w:t xml:space="preserve">t = (0, 400);</w:t>
      </w:r>
    </w:p>
    <w:p>
      <w:pPr>
        <w:pStyle w:val="SourceCode"/>
      </w:pPr>
      <w:r>
        <w:rPr>
          <w:rStyle w:val="VerbatimChar"/>
        </w:rPr>
        <w:t xml:space="preserve">function syst!(dx, x, p, t)</w:t>
      </w:r>
      <w:r>
        <w:br/>
      </w:r>
      <w:r>
        <w:rPr>
          <w:rStyle w:val="VerbatimChar"/>
        </w:rPr>
        <w:t xml:space="preserve">    dx[1] = -a*x[1] + b .* x[1] * x[2];</w:t>
      </w:r>
      <w:r>
        <w:br/>
      </w:r>
      <w:r>
        <w:rPr>
          <w:rStyle w:val="VerbatimChar"/>
        </w:rPr>
        <w:t xml:space="preserve">    dx[2] = c * x[2] - d .* x[1] * x[2];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#при следующих начальных условиях:</w:t>
      </w:r>
      <w:r>
        <w:br/>
      </w:r>
      <w:r>
        <w:br/>
      </w:r>
      <w:r>
        <w:rPr>
          <w:rStyle w:val="VerbatimChar"/>
        </w:rPr>
        <w:t xml:space="preserve">x0 = [7, 21];</w:t>
      </w:r>
      <w:r>
        <w:br/>
      </w:r>
      <w:r>
        <w:br/>
      </w:r>
      <w:r>
        <w:rPr>
          <w:rStyle w:val="VerbatimChar"/>
        </w:rPr>
        <w:t xml:space="preserve">prob = ODEProblem(syst!, x0, t);</w:t>
      </w:r>
      <w:r>
        <w:br/>
      </w:r>
      <w:r>
        <w:rPr>
          <w:rStyle w:val="VerbatimChar"/>
        </w:rPr>
        <w:t xml:space="preserve">y = solve(prob, Tsit5(), saveat = 0.01);</w:t>
      </w:r>
      <w:r>
        <w:br/>
      </w:r>
      <w:r>
        <w:br/>
      </w:r>
      <w:r>
        <w:br/>
      </w:r>
      <w:r>
        <w:rPr>
          <w:rStyle w:val="VerbatimChar"/>
        </w:rPr>
        <w:t xml:space="preserve">u1 = [sol[1] for sol in y.u]</w:t>
      </w:r>
      <w:r>
        <w:br/>
      </w:r>
      <w:r>
        <w:rPr>
          <w:rStyle w:val="VerbatimChar"/>
        </w:rPr>
        <w:t xml:space="preserve">u2 = [sol[2] for sol in y.u]</w:t>
      </w:r>
      <w:r>
        <w:br/>
      </w:r>
      <w:r>
        <w:br/>
      </w:r>
      <w:r>
        <w:rPr>
          <w:rStyle w:val="VerbatimChar"/>
        </w:rPr>
        <w:t xml:space="preserve">t1 = collect(0:0.01:400)</w:t>
      </w:r>
      <w:r>
        <w:br/>
      </w:r>
      <w:r>
        <w:br/>
      </w:r>
      <w:r>
        <w:rPr>
          <w:rStyle w:val="VerbatimChar"/>
        </w:rPr>
        <w:t xml:space="preserve">plot(t1, [u1, u2], label = ["Хищник" "Жертв"], title = "  Изменение числа особей популациях")</w:t>
      </w:r>
      <w:r>
        <w:br/>
      </w:r>
      <w:r>
        <w:rPr>
          <w:rStyle w:val="VerbatimChar"/>
        </w:rPr>
        <w:t xml:space="preserve"> xlabel!(" Времия")</w:t>
      </w:r>
      <w:r>
        <w:br/>
      </w:r>
      <w:r>
        <w:rPr>
          <w:rStyle w:val="VerbatimChar"/>
        </w:rPr>
        <w:t xml:space="preserve">ylabel!("Числечнность")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run_lotka_volterra()</w:t>
      </w:r>
    </w:p>
    <w:p>
      <w:pPr>
        <w:pStyle w:val="BodyText"/>
      </w:pPr>
      <w:r>
        <w:t xml:space="preserve">В результаты мы получили следующие графики</w:t>
      </w:r>
    </w:p>
    <w:p>
      <w:pPr>
        <w:pStyle w:val="CaptionedFigure"/>
      </w:pPr>
      <w:r>
        <w:drawing>
          <wp:inline>
            <wp:extent cx="3733800" cy="2289734"/>
            <wp:effectExtent b="0" l="0" r="0" t="0"/>
            <wp:docPr descr="Модель Лотки-Вольтерра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Лотки-Вольтерра</w:t>
      </w:r>
    </w:p>
    <w:p>
      <w:pPr>
        <w:pStyle w:val="CaptionedFigure"/>
      </w:pPr>
      <w:r>
        <w:drawing>
          <wp:inline>
            <wp:extent cx="3733800" cy="2225193"/>
            <wp:effectExtent b="0" l="0" r="0" t="0"/>
            <wp:docPr descr="Стационарное состояние Julia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Стационарное состояние Julia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 выпольнения данной лабораторной работы я построил графики, используя julia,</w:t>
      </w:r>
      <w:r>
        <w:t xml:space="preserve"> </w:t>
      </w:r>
      <w:r>
        <w:t xml:space="preserve">а также приобоел первый практические навыки работы с julia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2">
        <w:r>
          <w:rPr>
            <w:rStyle w:val="Hyperlink"/>
          </w:rPr>
          <w:t xml:space="preserve">Модель хищник-жертва</w:t>
        </w:r>
      </w:hyperlink>
      <w:r>
        <w:t xml:space="preserve"> </w:t>
      </w:r>
      <w:r>
        <w:t xml:space="preserve">[2] Модель Лотки-Вольтерры: https://ru.wikipedia.org/wiki/Модель_Лотки_—_Вольтерры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2" Target="https://esystem.rudn.ru/mod/resource/view.php?id=11002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mod/resource/view.php?id=11002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Нзита Диатезилуа Катенди</dc:creator>
  <dc:language>ru-RU</dc:language>
  <cp:keywords/>
  <dcterms:created xsi:type="dcterms:W3CDTF">2024-04-20T07:50:14Z</dcterms:created>
  <dcterms:modified xsi:type="dcterms:W3CDTF">2024-04-20T07:50:14Z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хищник-жертва - Вариант 51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