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9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Информационная</w:t>
      </w:r>
      <w:r>
        <w:t xml:space="preserve"> </w:t>
      </w:r>
      <w:r>
        <w:t xml:space="preserve">безопасность</w:t>
      </w:r>
    </w:p>
    <w:p>
      <w:pPr>
        <w:pStyle w:val="Subtitle"/>
      </w:pPr>
      <w:r>
        <w:t xml:space="preserve">Идентификация</w:t>
      </w:r>
      <w:r>
        <w:t xml:space="preserve"> </w:t>
      </w:r>
      <w:r>
        <w:t xml:space="preserve">и</w:t>
      </w:r>
      <w:r>
        <w:t xml:space="preserve"> </w:t>
      </w:r>
      <w:r>
        <w:t xml:space="preserve">аутентификация,</w:t>
      </w:r>
      <w:r>
        <w:t xml:space="preserve"> </w:t>
      </w:r>
      <w:r>
        <w:t xml:space="preserve">управление</w:t>
      </w:r>
      <w:r>
        <w:t xml:space="preserve"> </w:t>
      </w:r>
      <w:r>
        <w:t xml:space="preserve">доступом</w:t>
      </w:r>
    </w:p>
    <w:p>
      <w:pPr>
        <w:pStyle w:val="Author"/>
      </w:pPr>
      <w:r>
        <w:t xml:space="preserve">Нзита</w:t>
      </w:r>
      <w:r>
        <w:t xml:space="preserve"> </w:t>
      </w:r>
      <w:r>
        <w:t xml:space="preserve">Диатезилуа</w:t>
      </w:r>
      <w:r>
        <w:t xml:space="preserve"> </w:t>
      </w:r>
      <w:r>
        <w:t xml:space="preserve">Катенди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Целью данной работы являестся механизмов идентификации и аутентификации пользователей в компьютерных системах, а также ознакомление с методами управления доступом к ресурсам.</w:t>
      </w:r>
    </w:p>
    <w:bookmarkEnd w:id="20"/>
    <w:bookmarkStart w:id="25" w:name="теоретические-сведения"/>
    <w:p>
      <w:pPr>
        <w:pStyle w:val="Heading1"/>
      </w:pPr>
      <w:r>
        <w:t xml:space="preserve">Теоретические сведения</w:t>
      </w:r>
    </w:p>
    <w:bookmarkStart w:id="21" w:name="идентификация"/>
    <w:p>
      <w:pPr>
        <w:pStyle w:val="Heading2"/>
      </w:pPr>
      <w:r>
        <w:t xml:space="preserve">Идентификация</w:t>
      </w:r>
    </w:p>
    <w:p>
      <w:pPr>
        <w:pStyle w:val="FirstParagraph"/>
      </w:pPr>
      <w:r>
        <w:t xml:space="preserve">Идентификация – это процесс распознавания личности пользователя системой. При идентификации пользователь предоставляет уникальные данные, такие как имя пользователя, номер идентификационной карты или другой уникальный идентификатор, который позволяет системе определить, кто именно обращается к её ресурсам. Этот процесс не подтверждает достоверность предоставленной информации, а лишь служит для определения личности пользователя.</w:t>
      </w:r>
    </w:p>
    <w:bookmarkEnd w:id="21"/>
    <w:bookmarkStart w:id="22" w:name="аутентификация"/>
    <w:p>
      <w:pPr>
        <w:pStyle w:val="Heading2"/>
      </w:pPr>
      <w:r>
        <w:t xml:space="preserve">Аутентификация</w:t>
      </w:r>
    </w:p>
    <w:p>
      <w:pPr>
        <w:pStyle w:val="FirstParagraph"/>
      </w:pPr>
      <w:r>
        <w:t xml:space="preserve">Аутентификация – это процесс подтверждения того, что пользователь действительно является тем, за кого себя выдает. Этот процесс следует после идентификации и предполагает проверку предоставленных пользователем данных. Существует несколько методов аутентификации:</w:t>
      </w:r>
    </w:p>
    <w:p>
      <w:pPr>
        <w:pStyle w:val="BodyText"/>
      </w:pPr>
      <w:r>
        <w:t xml:space="preserve">Однофакторная аутентификация: Использование одного метода подтверждения, например, пароля.</w:t>
      </w:r>
    </w:p>
    <w:p>
      <w:pPr>
        <w:pStyle w:val="BodyText"/>
      </w:pPr>
      <w:r>
        <w:t xml:space="preserve">Многофакторная аутентификация: Использование нескольких методов подтверждения, например, пароля и отпечатка пальца или смс-кода.</w:t>
      </w:r>
    </w:p>
    <w:bookmarkEnd w:id="22"/>
    <w:bookmarkStart w:id="23" w:name="управление-доступом"/>
    <w:p>
      <w:pPr>
        <w:pStyle w:val="Heading2"/>
      </w:pPr>
      <w:r>
        <w:t xml:space="preserve">Управление доступом</w:t>
      </w:r>
    </w:p>
    <w:p>
      <w:pPr>
        <w:pStyle w:val="FirstParagraph"/>
      </w:pPr>
      <w:r>
        <w:t xml:space="preserve">Управление доступом – это процесс регулирования прав и привилегий пользователей для доступа к ресурсам информационной системы. Существует несколько моделей управления доступом:</w:t>
      </w:r>
    </w:p>
    <w:p>
      <w:pPr>
        <w:pStyle w:val="BodyText"/>
      </w:pPr>
      <w:r>
        <w:t xml:space="preserve">Дискреционное управление доступом (DAC): Доступ к ресурсам предоставляется владельцем ресурса на своё усмотрение.</w:t>
      </w:r>
    </w:p>
    <w:p>
      <w:pPr>
        <w:pStyle w:val="BodyText"/>
      </w:pPr>
      <w:r>
        <w:t xml:space="preserve">Обязательное управление доступом (MAC): Доступ к ресурсам регулируется системой на основе заранее установленных политик безопасности.</w:t>
      </w:r>
    </w:p>
    <w:p>
      <w:pPr>
        <w:pStyle w:val="BodyText"/>
      </w:pPr>
      <w:r>
        <w:t xml:space="preserve">Ролевая модель управления доступом (RBAC): Доступ к ресурсам предоставляется на основе ролей, назначенных пользователям.</w:t>
      </w:r>
    </w:p>
    <w:bookmarkEnd w:id="23"/>
    <w:bookmarkStart w:id="24" w:name="журналы-аутентификации"/>
    <w:p>
      <w:pPr>
        <w:pStyle w:val="Heading2"/>
      </w:pPr>
      <w:r>
        <w:t xml:space="preserve">Журналы аутентификации</w:t>
      </w:r>
    </w:p>
    <w:p>
      <w:pPr>
        <w:pStyle w:val="FirstParagraph"/>
      </w:pPr>
      <w:r>
        <w:t xml:space="preserve">Журналы аутентификации – это записи, которые ведёт система для фиксации всех попыток входа пользователей, как успешных, так и неудачных. Анализ этих журналов позволяет выявлять подозрительные активности, такие как множественные неудачные попытки входа, что может свидетельствовать о попытках взлома или несанкционированного доступа. В операционных системах на базе Linux такие журналы обычно хранятся в файлах /var/log/auth.log или /var/log/secure.</w:t>
      </w:r>
    </w:p>
    <w:bookmarkEnd w:id="24"/>
    <w:bookmarkEnd w:id="25"/>
    <w:bookmarkStart w:id="46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Перед началом лабораторной работы необходимо убедиться, что служба SSH (Secure Shell) активна и настроена на вашем компьютере. SSH позволяет безопасно подключаться к системе удалённо и является распространённым инструментом для управления серверами. (рис.</w:t>
      </w:r>
      <w:r>
        <w:t xml:space="preserve"> </w:t>
      </w:r>
      <w:r>
        <w:t xml:space="preserve">@fig:001</w:t>
      </w:r>
      <w:r>
        <w:t xml:space="preserve">)</w:t>
      </w:r>
    </w:p>
    <w:p>
      <w:pPr>
        <w:pStyle w:val="CaptionedFigure"/>
      </w:pPr>
      <w:r>
        <w:drawing>
          <wp:inline>
            <wp:extent cx="3733800" cy="1802127"/>
            <wp:effectExtent b="0" l="0" r="0" t="0"/>
            <wp:docPr descr="Проверка статус службы SSH" title="" id="27" name="Picture"/>
            <a:graphic>
              <a:graphicData uri="http://schemas.openxmlformats.org/drawingml/2006/picture">
                <pic:pic>
                  <pic:nvPicPr>
                    <pic:cNvPr descr="image/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021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статус службы SSH</w:t>
      </w:r>
    </w:p>
    <w:p>
      <w:pPr>
        <w:pStyle w:val="BodyText"/>
      </w:pPr>
      <w:r>
        <w:t xml:space="preserve">содержит информацию о пользователях системы. Каждая строка представляет одного пользователя с различными полями, такими как имя пользователя, UID, GID, домашний каталог и оболочка. (рис.</w:t>
      </w:r>
      <w:r>
        <w:t xml:space="preserve"> </w:t>
      </w:r>
      <w:r>
        <w:t xml:space="preserve">@fig:002</w:t>
      </w:r>
      <w:r>
        <w:t xml:space="preserve">)</w:t>
      </w:r>
    </w:p>
    <w:p>
      <w:pPr>
        <w:pStyle w:val="CaptionedFigure"/>
      </w:pPr>
      <w:r>
        <w:drawing>
          <wp:inline>
            <wp:extent cx="3733800" cy="1863793"/>
            <wp:effectExtent b="0" l="0" r="0" t="0"/>
            <wp:docPr descr="Идентификация" title="" id="30" name="Picture"/>
            <a:graphic>
              <a:graphicData uri="http://schemas.openxmlformats.org/drawingml/2006/picture">
                <pic:pic>
                  <pic:nvPicPr>
                    <pic:cNvPr descr="image/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637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Идентификация</w:t>
      </w:r>
    </w:p>
    <w:p>
      <w:pPr>
        <w:pStyle w:val="BodyText"/>
      </w:pPr>
      <w:r>
        <w:t xml:space="preserve">После генерации неудачных попыток входа необходимо проанализировать системные журналы, чтобы убедиться в фиксации этих событий. (рис.</w:t>
      </w:r>
      <w:r>
        <w:t xml:space="preserve"> </w:t>
      </w:r>
      <w:r>
        <w:t xml:space="preserve">@fig:003</w:t>
      </w:r>
      <w:r>
        <w:t xml:space="preserve">)</w:t>
      </w:r>
    </w:p>
    <w:p>
      <w:pPr>
        <w:pStyle w:val="BodyText"/>
      </w:pPr>
      <w:r>
        <w:t xml:space="preserve">Эта команда выводит все записи о неудачных попытках входа в систему, что помогает отслеживать попытки несанкционированного доступа.</w:t>
      </w:r>
    </w:p>
    <w:p>
      <w:pPr>
        <w:pStyle w:val="CaptionedFigure"/>
      </w:pPr>
      <w:r>
        <w:drawing>
          <wp:inline>
            <wp:extent cx="3733800" cy="1011718"/>
            <wp:effectExtent b="0" l="0" r="0" t="0"/>
            <wp:docPr descr="Просмотр неудачных попыток входа" title="" id="33" name="Picture"/>
            <a:graphic>
              <a:graphicData uri="http://schemas.openxmlformats.org/drawingml/2006/picture">
                <pic:pic>
                  <pic:nvPicPr>
                    <pic:cNvPr descr="image/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117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Просмотр неудачных попыток входа</w:t>
      </w:r>
    </w:p>
    <w:bookmarkStart w:id="38" w:name="процессы-и-технологии-аутентификации"/>
    <w:p>
      <w:pPr>
        <w:pStyle w:val="Heading2"/>
      </w:pPr>
      <w:r>
        <w:t xml:space="preserve">Процессы и технологии аутентификации</w:t>
      </w:r>
    </w:p>
    <w:p>
      <w:pPr>
        <w:pStyle w:val="FirstParagraph"/>
      </w:pPr>
      <w:r>
        <w:t xml:space="preserve">Современные методы:</w:t>
      </w:r>
    </w:p>
    <w:p>
      <w:pPr>
        <w:numPr>
          <w:ilvl w:val="0"/>
          <w:numId w:val="1001"/>
        </w:numPr>
        <w:pStyle w:val="Compact"/>
      </w:pPr>
      <w:r>
        <w:t xml:space="preserve">Биометрия (скан отпечатков пальцев, распознавание лица).</w:t>
      </w:r>
    </w:p>
    <w:p>
      <w:pPr>
        <w:numPr>
          <w:ilvl w:val="0"/>
          <w:numId w:val="1001"/>
        </w:numPr>
        <w:pStyle w:val="Compact"/>
      </w:pPr>
      <w:r>
        <w:t xml:space="preserve">Токены (одноразовые пароли, физические ключи).</w:t>
      </w:r>
    </w:p>
    <w:p>
      <w:pPr>
        <w:numPr>
          <w:ilvl w:val="0"/>
          <w:numId w:val="1001"/>
        </w:numPr>
        <w:pStyle w:val="Compact"/>
      </w:pPr>
      <w:r>
        <w:t xml:space="preserve">Протоколы (OAuth, SAML, Kerberos).</w:t>
      </w:r>
    </w:p>
    <w:p>
      <w:pPr>
        <w:pStyle w:val="FirstParagraph"/>
      </w:pPr>
      <w:r>
        <w:t xml:space="preserve">Создает SHA-512 хеш для пароля password123 и сохраняет его в файл hash.txt.</w:t>
      </w:r>
    </w:p>
    <w:p>
      <w:pPr>
        <w:pStyle w:val="BodyText"/>
      </w:pPr>
      <w:r>
        <w:t xml:space="preserve">Использует словарь rockyou.txt для подбора пароля, соответствующего хешу в hash.txt (рис.</w:t>
      </w:r>
      <w:r>
        <w:t xml:space="preserve"> </w:t>
      </w:r>
      <w:r>
        <w:t xml:space="preserve">@fig:004</w:t>
      </w:r>
      <w:r>
        <w:t xml:space="preserve">)</w:t>
      </w:r>
    </w:p>
    <w:p>
      <w:pPr>
        <w:pStyle w:val="CaptionedFigure"/>
      </w:pPr>
      <w:r>
        <w:drawing>
          <wp:inline>
            <wp:extent cx="3733800" cy="1397264"/>
            <wp:effectExtent b="0" l="0" r="0" t="0"/>
            <wp:docPr descr="Процессы и технологии аутентификации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972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Процессы и технологии аутентификации</w:t>
      </w:r>
    </w:p>
    <w:p>
      <w:pPr>
        <w:pStyle w:val="BodyText"/>
      </w:pPr>
      <w:r>
        <w:t xml:space="preserve">Этот пример демонстрирует, как могут быть взломаны слабые пароли. Используйте его только на собственных тестовых системах и хешах.</w:t>
      </w:r>
    </w:p>
    <w:bookmarkEnd w:id="38"/>
    <w:bookmarkStart w:id="45" w:name="управление-доступом-1"/>
    <w:p>
      <w:pPr>
        <w:pStyle w:val="Heading2"/>
      </w:pPr>
      <w:r>
        <w:t xml:space="preserve">Управление доступом</w:t>
      </w:r>
    </w:p>
    <w:p>
      <w:pPr>
        <w:pStyle w:val="FirstParagraph"/>
      </w:pPr>
      <w:r>
        <w:t xml:space="preserve">Методы:</w:t>
      </w:r>
    </w:p>
    <w:p>
      <w:pPr>
        <w:numPr>
          <w:ilvl w:val="0"/>
          <w:numId w:val="1002"/>
        </w:numPr>
        <w:pStyle w:val="Compact"/>
      </w:pPr>
      <w:r>
        <w:t xml:space="preserve">DAC (Discretionary Access Control) – доступ на усмотрение владельца.</w:t>
      </w:r>
    </w:p>
    <w:p>
      <w:pPr>
        <w:numPr>
          <w:ilvl w:val="0"/>
          <w:numId w:val="1002"/>
        </w:numPr>
        <w:pStyle w:val="Compact"/>
      </w:pPr>
      <w:r>
        <w:t xml:space="preserve">MAC (Mandatory Access Control) – обязательный контроль доступа.</w:t>
      </w:r>
    </w:p>
    <w:p>
      <w:pPr>
        <w:numPr>
          <w:ilvl w:val="0"/>
          <w:numId w:val="1002"/>
        </w:numPr>
        <w:pStyle w:val="Compact"/>
      </w:pPr>
      <w:r>
        <w:t xml:space="preserve">RBAC (Role-Based Access Control) – контроль доступа на основе ролей.</w:t>
      </w:r>
    </w:p>
    <w:p>
      <w:pPr>
        <w:pStyle w:val="FirstParagraph"/>
      </w:pPr>
      <w:r>
        <w:t xml:space="preserve">Ограничение доступа к конфиденциальным документам в корпоративной сети на основе должностей</w:t>
      </w:r>
    </w:p>
    <w:p>
      <w:pPr>
        <w:pStyle w:val="BodyText"/>
      </w:pPr>
      <w:r>
        <w:t xml:space="preserve">Устанавливает права доступа к файлу secret.txt, позволяя читать и записывать его только владельцу. (рис.</w:t>
      </w:r>
      <w:r>
        <w:t xml:space="preserve"> </w:t>
      </w:r>
      <w:r>
        <w:t xml:space="preserve">@fig:005</w:t>
      </w:r>
      <w:r>
        <w:t xml:space="preserve">)</w:t>
      </w:r>
    </w:p>
    <w:p>
      <w:pPr>
        <w:pStyle w:val="CaptionedFigure"/>
      </w:pPr>
      <w:r>
        <w:drawing>
          <wp:inline>
            <wp:extent cx="3733800" cy="1337565"/>
            <wp:effectExtent b="0" l="0" r="0" t="0"/>
            <wp:docPr descr="Настройка прав доступа к файлу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375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Настройка прав доступа к файлу</w:t>
      </w:r>
    </w:p>
    <w:p>
      <w:pPr>
        <w:pStyle w:val="BodyText"/>
      </w:pPr>
      <w:r>
        <w:t xml:space="preserve">Использование Hydra для атаки методом перебора паролей на SSH (на тестовом сервере)</w:t>
      </w:r>
    </w:p>
    <w:p>
      <w:pPr>
        <w:pStyle w:val="BodyText"/>
      </w:pPr>
      <w:r>
        <w:t xml:space="preserve">Пробуем подобрать пароль для пользователя testuser на локальном SSH-сервере, используя словарь rockyou.txt. (рис.</w:t>
      </w:r>
      <w:r>
        <w:t xml:space="preserve"> </w:t>
      </w:r>
      <w:r>
        <w:t xml:space="preserve">@fig:006</w:t>
      </w:r>
      <w:r>
        <w:t xml:space="preserve">)</w:t>
      </w:r>
    </w:p>
    <w:p>
      <w:pPr>
        <w:pStyle w:val="CaptionedFigure"/>
      </w:pPr>
      <w:r>
        <w:drawing>
          <wp:inline>
            <wp:extent cx="3733800" cy="608878"/>
            <wp:effectExtent b="0" l="0" r="0" t="0"/>
            <wp:docPr descr="Управление доступом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088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Управление доступом</w:t>
      </w:r>
    </w:p>
    <w:p>
      <w:pPr>
        <w:pStyle w:val="BodyText"/>
      </w:pPr>
      <w:r>
        <w:t xml:space="preserve">Этот пример демонстрирует угрозу перебора паролей. Используйте только на тестовых системах с разрешением.</w:t>
      </w:r>
    </w:p>
    <w:bookmarkEnd w:id="45"/>
    <w:bookmarkEnd w:id="46"/>
    <w:bookmarkStart w:id="47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были изучены основные механизмы идентификации и аутентификации пользователей, а также методы управления доступом к ресурсам информационных систем.</w:t>
      </w:r>
    </w:p>
    <w:bookmarkEnd w:id="47"/>
    <w:bookmarkStart w:id="49" w:name="список-литературы"/>
    <w:p>
      <w:pPr>
        <w:pStyle w:val="Heading1"/>
      </w:pPr>
      <w:r>
        <w:t xml:space="preserve">Список литературы</w:t>
      </w:r>
    </w:p>
    <w:bookmarkStart w:id="48" w:name="refs"/>
    <w:bookmarkEnd w:id="48"/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2" Target="media/rId4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Информационная безопасность</dc:title>
  <dc:creator>Нзита Диатезилуа Катенди</dc:creator>
  <dc:language>ru-RU</dc:language>
  <cp:keywords/>
  <dcterms:created xsi:type="dcterms:W3CDTF">2024-10-12T15:09:48Z</dcterms:created>
  <dcterms:modified xsi:type="dcterms:W3CDTF">2024-10-12T15:09:48Z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Идентификация и аутентификация, управление доступом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