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цель-работы"/>
    <w:p>
      <w:pPr>
        <w:pStyle w:val="Heading1"/>
      </w:pPr>
      <w:r>
        <w:t xml:space="preserve">ПЦель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комадой chmod важно понимать основные права доступа, которвые назначают файлам или каталогам. В Linux используется три основных типа прав доступа</w:t>
      </w:r>
      <w:r>
        <w:t xml:space="preserve">[@scott_linux_2019]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установление при выполнении предыдущей лабораторной работы ОС создадим учетную запись пользователя и добввляем его в группу guest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1643368"/>
            <wp:effectExtent b="0" l="0" r="0" t="0"/>
            <wp:docPr descr="Создание нового пользователя guest2 и добавление его в группу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 guest2 и добавление его в группу guest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консоли. Для обоих пользователей командой pwd определим директорию, в которой находимся, увидим, что она совпадает с приглашениями командной строки. Уточните имя нашего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Увидим, что guest принадлежит одной группе guet c ig 2001, а двум группам guest и guest2 с id 1001 и 1002. С помощью команд id -Gn и id -G можно увидеть только id существующии из групп и название соответственно(рис.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1366024"/>
            <wp:effectExtent b="0" l="0" r="0" t="0"/>
            <wp:docPr descr="Просмотр информации о группах пользовател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группах пользователей</w:t>
      </w:r>
    </w:p>
    <w:p>
      <w:pPr>
        <w:pStyle w:val="BodyText"/>
      </w:pPr>
      <w:r>
        <w:t xml:space="preserve">Посмотрев информацию о группа этих пользователей в файле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получим аналогичную информацию(рис.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558600"/>
            <wp:effectExtent b="0" l="0" r="0" t="0"/>
            <wp:docPr descr="Просмотр информации о группах пользователей в файле /etc/group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группах пользователей в файле</w:t>
      </w:r>
      <w:r>
        <w:t xml:space="preserve"> </w:t>
      </w:r>
      <w:r>
        <w:rPr>
          <w:rStyle w:val="VerbatimChar"/>
        </w:rPr>
        <w:t xml:space="preserve">/etc/group</w:t>
      </w:r>
    </w:p>
    <w:p>
      <w:pPr>
        <w:pStyle w:val="BodyText"/>
      </w:pPr>
      <w:r>
        <w:t xml:space="preserve">От имени пользователя guest2 выполните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</w:t>
      </w:r>
    </w:p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 и снимем с директории /home/guest/dir1 все атрибуты, затем проверим правильность атрибутов(рис.</w:t>
      </w:r>
      <w:r>
        <w:t xml:space="preserve"> </w:t>
      </w:r>
      <w:r>
        <w:t xml:space="preserve">@fig:004</w:t>
      </w:r>
      <w:r>
        <w:t xml:space="preserve">,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2594761"/>
            <wp:effectExtent b="0" l="0" r="0" t="0"/>
            <wp:docPr descr="Изменение прав доступ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CaptionedFigure"/>
      </w:pPr>
      <w:r>
        <w:drawing>
          <wp:inline>
            <wp:extent cx="3733800" cy="1112622"/>
            <wp:effectExtent b="0" l="0" r="0" t="0"/>
            <wp:docPr descr="Изменение прав доступ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TableCaption"/>
      </w:pPr>
      <w:r>
        <w:t xml:space="preserve">Установленные права и разрешённые действия {#tbl:tbl1}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Установленные права и разрешённые действия {#tbl:tbl1}"/>
      </w:tblPr>
      <w:tblGrid>
        <w:gridCol w:w="1000"/>
        <w:gridCol w:w="917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табл.</w:t>
      </w:r>
      <w:r>
        <w:t xml:space="preserve"> </w:t>
      </w:r>
      <w:r>
        <w:t xml:space="preserve">[-@tbl:tbl2]</w:t>
      </w:r>
      <w:r>
        <w:t xml:space="preserve"> </w:t>
      </w:r>
      <w:r>
        <w:t xml:space="preserve">приведены данные о том, какие минимальные права должны быть для совершения различных действий.</w:t>
      </w:r>
    </w:p>
    <w:p>
      <w:pPr>
        <w:pStyle w:val="TableCaption"/>
      </w:pPr>
      <w:r>
        <w:t xml:space="preserve">Минимальные права для совершения операций {#tbl:tbl2}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Минимальные права для совершения операций {#tbl:tbl2}"/>
      </w:tblPr>
      <w:tblGrid>
        <w:gridCol w:w="3960"/>
        <w:gridCol w:w="2066"/>
        <w:gridCol w:w="18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При сравнении с таблицей в лабораторной работе №2 можно увидеть, что отличие состоит только в том, что не владелец файла никогда не имеет прав на изменение его атрибутов. Менять права доступа (записывать в inode) может владелец файла или администратор</w:t>
      </w:r>
      <w:r>
        <w:t xml:space="preserve">[@uran2020]</w:t>
      </w:r>
      <w:r>
        <w:t xml:space="preserve">. Члены группы файла никаких особых прав на inode не имеют. Пользователь может отобрать у себя собственные права на чтение и запись в файл, но право на запись в inode (в т.ч. право на смену прав) сохраняется у владельца файла при любых обстоятельствах. Пользователь не может передать право собственности на файл другому пользователю и не может забрать право собственности на файл у другого пользователя.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прибретение практические навыки работы в консоли с атрибутами файлов для групп пользователей.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2024-09-14T19:12:51Z</dcterms:created>
  <dcterms:modified xsi:type="dcterms:W3CDTF">2024-09-14T19:12:51Z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3. Дискреционное разграничение прав в Linux. Два пользователя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