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№3.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Целью данной работы являестся использование Hydra для подбора пароля.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Damn Vulnerable Web Application (DVWA) – это веб-приложение PHP/MySQL, которое чертовски уязвимо</w:t>
      </w:r>
      <w:r>
        <w:t xml:space="preserve">[~@dvwa]</w:t>
      </w:r>
      <w:r>
        <w:t xml:space="preserve">. Его основная цель – помочь специалистам по безопасности проверить свои навыки и инструменты в правовой среде, помочь веб-разработчикам лучше понять процессы обеспечения безопасности веб-приложений, а также помочь студентам и преподавателям узнать о безопасности веб-приложений в контролируемом классе. обстановка помещения.</w:t>
      </w:r>
    </w:p>
    <w:p>
      <w:pPr>
        <w:pStyle w:val="BodyText"/>
      </w:pPr>
      <w:r>
        <w:t xml:space="preserve">DVWA (Damn Vulnerable Web Application) — это приложение, предназначенное для практики работы с распространёнными веб-уязвимостями, предлагая пользователю интуитивно понятный интерфейс. Оно содержит как документированные, так и недокументированные уязвимости, позволяя исследовать безопасность веб-приложений на разных уровнях сложности.</w:t>
      </w:r>
    </w:p>
    <w:p>
      <w:pPr>
        <w:pStyle w:val="BodyText"/>
      </w:pPr>
      <w:r>
        <w:t xml:space="preserve">Некоторые из уязвимостей, представленных в DVWA, включают: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Брутфорс</w:t>
      </w:r>
      <w:r>
        <w:t xml:space="preserve">: Атака на формы входа, используемая для тестирования инструментов, позволяющих подбирать пароли, и демонстрации уязвимости слабых паролей.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Выполнение команд</w:t>
      </w:r>
      <w:r>
        <w:t xml:space="preserve">: Позволяет злоумышленнику исполнять команды на уровне операционной системы.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злоумышленнику изменять пароль администратора.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Внедрение файлов</w:t>
      </w:r>
      <w:r>
        <w:t xml:space="preserve">: Злоумышленник может подключать удалённые или локальные файлы к веб-приложению.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SQL-внедрение</w:t>
      </w:r>
      <w:r>
        <w:t xml:space="preserve">: Позволяет вставлять SQL-код в запросы через поля ввода, включая слепое и основанное на ошибках внедрение.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Небезопасная выгрузка файлов</w:t>
      </w:r>
      <w:r>
        <w:t xml:space="preserve">: Позволяет загружать вредоносные файлы на сервер.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Межсайтовый скриптинг (XSS)</w:t>
      </w:r>
      <w:r>
        <w:t xml:space="preserve">: Злоумышленник может внедрять свои скрипты в веб-приложение или базу данных, включая отражённые и сохранённые XSS.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Пасхальные яйца</w:t>
      </w:r>
      <w:r>
        <w:t xml:space="preserve">: Раскрытие путей к файлам, обход аутентификации и другие уязвимости.</w:t>
      </w:r>
    </w:p>
    <w:p>
      <w:pPr>
        <w:pStyle w:val="FirstParagraph"/>
      </w:pPr>
      <w:r>
        <w:t xml:space="preserve">DVWA предлагает четыре уровня безопасности, которые меняют уязвимость веб-приложений: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Невозможный</w:t>
      </w:r>
      <w:r>
        <w:t xml:space="preserve">: Уровень безопасности, при котором приложение защищено от всех уязвимостей. Используется для сравнения уязвимого кода с безопасным.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Высокий</w:t>
      </w:r>
      <w:r>
        <w:t xml:space="preserve">: Уровень сложности с элементами более сложных и альтернативных плохих практик, который снижает возможности эксплуатации.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Средний</w:t>
      </w:r>
      <w:r>
        <w:t xml:space="preserve">: Уровень, показывающий примеры плохих практик безопасности, где разработчик пытался обеспечить безопасность, но не смог.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Низкий</w:t>
      </w:r>
      <w:r>
        <w:t xml:space="preserve">: Полностью уязвимый уровень, предназначенный для демонстрации плохих практик программирования и обучения базовым методам эксплуатации.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самый низкий уровень защиты DVWA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733800" cy="3297915"/>
            <wp:effectExtent b="0" l="0" r="0" t="0"/>
            <wp:docPr descr="Уровень защиты DVWA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7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Уровень защиты DVWA</w:t>
      </w:r>
    </w:p>
    <w:p>
      <w:pPr>
        <w:pStyle w:val="BodyText"/>
      </w:pPr>
      <w:r>
        <w:t xml:space="preserve">Откроем страницу для проведения атаки brute force, которая представляет собой простейшую уязвимую форму с паролем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3326325"/>
            <wp:effectExtent b="0" l="0" r="0" t="0"/>
            <wp:docPr descr="Уязвимая форма для ввода парол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Уязвимая форма для ввода пароля</w:t>
      </w:r>
    </w:p>
    <w:p>
      <w:pPr>
        <w:pStyle w:val="BodyText"/>
      </w:pPr>
      <w:r>
        <w:t xml:space="preserve">В Kali лежит файл с найболее популярными паролями, который мы распакуем(рис.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2737356"/>
            <wp:effectExtent b="0" l="0" r="0" t="0"/>
            <wp:docPr descr="Распаковка rockyou.txt.gz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rockyou.txt.gz</w:t>
      </w:r>
    </w:p>
    <w:p>
      <w:pPr>
        <w:pStyle w:val="BodyText"/>
      </w:pPr>
      <w:r>
        <w:t xml:space="preserve">Можно увидеть, что уже в начале есть пароль, который установлен по умолчанию для нашего аккаунта(рис.</w:t>
      </w:r>
      <w:r>
        <w:t xml:space="preserve"> </w:t>
      </w:r>
      <w:r>
        <w:t xml:space="preserve">@fig:004</w:t>
      </w:r>
      <w:r>
        <w:t xml:space="preserve">,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1973993"/>
            <wp:effectExtent b="0" l="0" r="0" t="0"/>
            <wp:docPr descr="файл rockyou.txt. с наиболее популярными паролям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rockyou.txt. с наиболее популярными паролями</w:t>
      </w:r>
    </w:p>
    <w:p>
      <w:pPr>
        <w:pStyle w:val="BodyText"/>
      </w:pPr>
      <w:r>
        <w:t xml:space="preserve">Рассмотрим данные о запросе на вход(рис.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1372434"/>
            <wp:effectExtent b="0" l="0" r="0" t="0"/>
            <wp:docPr descr="Данные о запросе на вход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Данные о запросе на вход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3"/>
        </w:numPr>
        <w:pStyle w:val="Compact"/>
      </w:pPr>
      <w:r>
        <w:t xml:space="preserve">IP сервера 127.0.0.1(localhost);</w:t>
      </w:r>
    </w:p>
    <w:p>
      <w:pPr>
        <w:numPr>
          <w:ilvl w:val="0"/>
          <w:numId w:val="1003"/>
        </w:numPr>
        <w:pStyle w:val="Compact"/>
      </w:pPr>
      <w:r>
        <w:t xml:space="preserve">Сервис http на стандартном 80 порту;</w:t>
      </w:r>
    </w:p>
    <w:p>
      <w:pPr>
        <w:numPr>
          <w:ilvl w:val="0"/>
          <w:numId w:val="1003"/>
        </w:numPr>
        <w:pStyle w:val="Compact"/>
      </w:pPr>
      <w:r>
        <w:t xml:space="preserve">Для авторизации используется html форма, которая отправляет по адресу http://localhost/DVWA/vulnerabilities/brute методом GET запрос вида username=admin&amp;password=test_password;</w:t>
      </w:r>
    </w:p>
    <w:p>
      <w:pPr>
        <w:numPr>
          <w:ilvl w:val="0"/>
          <w:numId w:val="1003"/>
        </w:numPr>
        <w:pStyle w:val="Compact"/>
      </w:pPr>
      <w:r>
        <w:t xml:space="preserve">В случае неудачной аутентификации пользователь наблюдает сообщение Username and/or password incorrect.</w:t>
      </w:r>
    </w:p>
    <w:p>
      <w:pPr>
        <w:pStyle w:val="FirstParagraph"/>
      </w:pPr>
      <w:r>
        <w:t xml:space="preserve">Запрос к Hydra будет выглядеть так(рис.</w:t>
      </w:r>
      <w:r>
        <w:t xml:space="preserve"> </w:t>
      </w:r>
      <w:r>
        <w:t xml:space="preserve">@fig:006</w:t>
      </w:r>
      <w:r>
        <w:t xml:space="preserve">):</w:t>
      </w:r>
    </w:p>
    <w:p>
      <w:pPr>
        <w:pStyle w:val="CaptionedFigure"/>
      </w:pPr>
      <w:r>
        <w:drawing>
          <wp:inline>
            <wp:extent cx="3733800" cy="1094054"/>
            <wp:effectExtent b="0" l="0" r="0" t="0"/>
            <wp:docPr descr="Запрос к Hydra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к Hydra</w:t>
      </w:r>
    </w:p>
    <w:p>
      <w:pPr>
        <w:pStyle w:val="BodyText"/>
      </w:pPr>
      <w:r>
        <w:t xml:space="preserve">В результате получим нужный пароль(рис.</w:t>
      </w:r>
      <w:r>
        <w:t xml:space="preserve"> </w:t>
      </w:r>
      <w:r>
        <w:t xml:space="preserve">@fig:007</w:t>
      </w:r>
      <w:r>
        <w:t xml:space="preserve">):</w:t>
      </w:r>
    </w:p>
    <w:p>
      <w:pPr>
        <w:pStyle w:val="CaptionedFigure"/>
      </w:pPr>
      <w:r>
        <w:drawing>
          <wp:inline>
            <wp:extent cx="3733800" cy="3255741"/>
            <wp:effectExtent b="0" l="0" r="0" t="0"/>
            <wp:docPr descr="Проверка полученного парол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полученного пароля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результаты выпольнения работы была использована Hydra, для атаки типа brute force.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::::::</w:t>
      </w:r>
      <w:r>
        <w:t xml:space="preserve"> </w:t>
      </w:r>
      <w:r>
        <w:t xml:space="preserve">:::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Нзита Диатезилуа Катенди</dc:creator>
  <dc:language>ru-RU</dc:language>
  <cp:keywords/>
  <dcterms:created xsi:type="dcterms:W3CDTF">2024-09-28T11:47:00Z</dcterms:created>
  <dcterms:modified xsi:type="dcterms:W3CDTF">2024-09-28T11:47:00Z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Индивидуальный проект. Этап №3. Использование Hydra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