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color w:val="000000"/>
          <w:sz w:val="22"/>
        </w:rPr>
        <w:t>REPUBLIQUE DU CAMEROUN</w:t>
      </w:r>
    </w:p>
    <w:p>
      <w:pPr>
        <w:spacing w:after="80"/>
        <w:jc w:val="center"/>
      </w:pPr>
      <w:r>
        <w:rPr>
          <w:rFonts w:ascii="Times New Roman" w:hAnsi="Times New Roman"/>
          <w:b w:val="0"/>
          <w:i/>
          <w:color w:val="000000"/>
          <w:sz w:val="20"/>
        </w:rPr>
        <w:t>Paix – Travail – Patrie</w:t>
      </w:r>
    </w:p>
    <w:p>
      <w:pPr>
        <w:spacing w:after="80"/>
        <w:jc w:val="center"/>
      </w:pPr>
      <w:r>
        <w:rPr>
          <w:rFonts w:ascii="Times New Roman" w:hAnsi="Times New Roman"/>
          <w:b w:val="0"/>
          <w:i w:val="0"/>
          <w:color w:val="000000"/>
          <w:sz w:val="20"/>
        </w:rPr>
        <w:t>*****</w:t>
      </w:r>
    </w:p>
    <w:p>
      <w:pPr>
        <w:spacing w:after="80"/>
        <w:jc w:val="center"/>
      </w:pPr>
      <w:r>
        <w:rPr>
          <w:rFonts w:ascii="Times New Roman" w:hAnsi="Times New Roman"/>
          <w:b/>
          <w:i w:val="0"/>
          <w:color w:val="000000"/>
          <w:sz w:val="22"/>
        </w:rPr>
        <w:t>MINISTERE DE L'ENSEIGNEMENT SUPERIEUR</w:t>
      </w:r>
    </w:p>
    <w:p>
      <w:pPr>
        <w:spacing w:after="80"/>
        <w:jc w:val="center"/>
      </w:pPr>
      <w:r>
        <w:rPr>
          <w:rFonts w:ascii="Times New Roman" w:hAnsi="Times New Roman"/>
          <w:b w:val="0"/>
          <w:i w:val="0"/>
          <w:color w:val="000000"/>
          <w:sz w:val="20"/>
        </w:rPr>
        <w:t>*****</w:t>
      </w:r>
    </w:p>
    <w:p>
      <w:pPr>
        <w:spacing w:after="80"/>
        <w:jc w:val="center"/>
      </w:pPr>
      <w:r>
        <w:rPr>
          <w:rFonts w:ascii="Times New Roman" w:hAnsi="Times New Roman"/>
          <w:b w:val="0"/>
          <w:i w:val="0"/>
          <w:color w:val="000000"/>
          <w:sz w:val="22"/>
        </w:rPr>
        <w:t>UNIVERSITE DE YAOUNDE I</w:t>
      </w:r>
    </w:p>
    <w:p>
      <w:pPr>
        <w:spacing w:after="80"/>
        <w:jc w:val="center"/>
      </w:pPr>
      <w:r>
        <w:rPr>
          <w:rFonts w:ascii="Times New Roman" w:hAnsi="Times New Roman"/>
          <w:b w:val="0"/>
          <w:i w:val="0"/>
          <w:color w:val="000000"/>
          <w:sz w:val="20"/>
        </w:rPr>
        <w:t>*****</w:t>
      </w:r>
    </w:p>
    <w:p>
      <w:pPr>
        <w:spacing w:after="80"/>
        <w:jc w:val="center"/>
      </w:pPr>
      <w:r>
        <w:rPr>
          <w:rFonts w:ascii="Times New Roman" w:hAnsi="Times New Roman"/>
          <w:b/>
          <w:i w:val="0"/>
          <w:color w:val="000000"/>
          <w:sz w:val="24"/>
        </w:rPr>
        <w:t>INSTITUT SAINT JEAN</w:t>
      </w:r>
    </w:p>
    <w:p/>
    <w:p>
      <w:pPr>
        <w:jc w:val="both"/>
      </w:pPr>
      <w:r>
        <w:rPr>
          <w:rFonts w:ascii="Times New Roman" w:hAnsi="Times New Roman"/>
          <w:i/>
          <w:color w:val="C8102E"/>
          <w:sz w:val="24"/>
        </w:rPr>
        <w:t>[ Insérer ici les logos : Institut Saint Jean, Afriland First Bank, ENSPY (centrés) ]</w:t>
      </w:r>
    </w:p>
    <w:p/>
    <w:p>
      <w:pPr>
        <w:spacing w:after="80"/>
        <w:jc w:val="center"/>
      </w:pPr>
      <w:r>
        <w:rPr>
          <w:rFonts w:ascii="Times New Roman" w:hAnsi="Times New Roman"/>
          <w:b/>
          <w:i w:val="0"/>
          <w:color w:val="C8102E"/>
          <w:sz w:val="28"/>
        </w:rPr>
        <w:t>RAPPORT DE STAGE ACADEMIQUE</w:t>
      </w:r>
    </w:p>
    <w:p/>
    <w:p>
      <w:pPr>
        <w:spacing w:after="80"/>
        <w:jc w:val="center"/>
      </w:pPr>
      <w:r>
        <w:rPr>
          <w:rFonts w:ascii="Times New Roman" w:hAnsi="Times New Roman"/>
          <w:b/>
          <w:i w:val="0"/>
          <w:color w:val="000000"/>
          <w:sz w:val="30"/>
        </w:rPr>
        <w:t>CONCEPTION ET REALISATION D'UN PORTAIL DE CONNAISSANCE</w:t>
      </w:r>
    </w:p>
    <w:p>
      <w:pPr>
        <w:spacing w:after="80"/>
        <w:jc w:val="center"/>
      </w:pPr>
      <w:r>
        <w:rPr>
          <w:rFonts w:ascii="Times New Roman" w:hAnsi="Times New Roman"/>
          <w:b/>
          <w:i w:val="0"/>
          <w:color w:val="000000"/>
          <w:sz w:val="30"/>
        </w:rPr>
        <w:t>DES PARTENAIRES ET FOURNISSEURS (KYP/KYS)</w:t>
      </w:r>
    </w:p>
    <w:p>
      <w:pPr>
        <w:spacing w:after="80"/>
        <w:jc w:val="center"/>
      </w:pPr>
      <w:r>
        <w:rPr>
          <w:rFonts w:ascii="Times New Roman" w:hAnsi="Times New Roman"/>
          <w:b/>
          <w:i w:val="0"/>
          <w:color w:val="000000"/>
          <w:sz w:val="30"/>
        </w:rPr>
        <w:t>POUR AFRILAND FIRST BANK</w:t>
      </w:r>
    </w:p>
    <w:p/>
    <w:p>
      <w:pPr>
        <w:spacing w:after="80"/>
        <w:jc w:val="center"/>
      </w:pPr>
      <w:r>
        <w:rPr>
          <w:rFonts w:ascii="Times New Roman" w:hAnsi="Times New Roman"/>
          <w:b w:val="0"/>
          <w:i w:val="0"/>
          <w:color w:val="000000"/>
          <w:sz w:val="24"/>
        </w:rPr>
        <w:t>Stage effectué du 04 mai au 03 août 2026 à Afriland First Bank —</w:t>
      </w:r>
    </w:p>
    <w:p>
      <w:pPr>
        <w:spacing w:after="80"/>
        <w:jc w:val="center"/>
      </w:pPr>
      <w:r>
        <w:rPr>
          <w:rFonts w:ascii="Times New Roman" w:hAnsi="Times New Roman"/>
          <w:b w:val="0"/>
          <w:i w:val="0"/>
          <w:color w:val="000000"/>
          <w:sz w:val="24"/>
        </w:rPr>
        <w:t>Direction des Recherches et de l'Innovation (DRI)</w:t>
      </w:r>
    </w:p>
    <w:p/>
    <w:p>
      <w:pPr>
        <w:spacing w:after="80"/>
        <w:jc w:val="center"/>
      </w:pPr>
      <w:r>
        <w:rPr>
          <w:rFonts w:ascii="Times New Roman" w:hAnsi="Times New Roman"/>
          <w:b w:val="0"/>
          <w:i w:val="0"/>
          <w:color w:val="000000"/>
          <w:sz w:val="24"/>
        </w:rPr>
        <w:t>En vue de l'obtention du diplôme d'Ingénieur (Cycle Ingénieur — 4ᵉ année / ING 4)</w:t>
      </w:r>
    </w:p>
    <w:p>
      <w:pPr>
        <w:jc w:val="center"/>
      </w:pPr>
      <w:r>
        <w:rPr>
          <w:rFonts w:ascii="Times New Roman" w:hAnsi="Times New Roman"/>
          <w:sz w:val="24"/>
        </w:rPr>
        <w:t xml:space="preserve">Option : </w:t>
      </w:r>
      <w:r>
        <w:rPr>
          <w:rFonts w:ascii="Times New Roman" w:hAnsi="Times New Roman"/>
          <w:sz w:val="24"/>
        </w:rPr>
        <w:t>Génie Logiciel</w:t>
      </w:r>
    </w:p>
    <w:p/>
    <w:p>
      <w:pPr>
        <w:spacing w:after="80"/>
        <w:jc w:val="center"/>
      </w:pPr>
      <w:r>
        <w:rPr>
          <w:rFonts w:ascii="Times New Roman" w:hAnsi="Times New Roman"/>
          <w:b w:val="0"/>
          <w:i w:val="0"/>
          <w:color w:val="000000"/>
          <w:sz w:val="24"/>
        </w:rPr>
        <w:t>Rédigé et présenté par :</w:t>
      </w:r>
    </w:p>
    <w:p>
      <w:pPr>
        <w:spacing w:after="80"/>
        <w:jc w:val="center"/>
      </w:pPr>
      <w:r>
        <w:rPr>
          <w:rFonts w:ascii="Times New Roman" w:hAnsi="Times New Roman"/>
          <w:b/>
          <w:i w:val="0"/>
          <w:color w:val="C8102E"/>
          <w:sz w:val="26"/>
        </w:rPr>
        <w:t>[NOM(S) et Prénom(s) de l'étudiant]</w:t>
      </w:r>
    </w:p>
    <w:p>
      <w:pPr>
        <w:spacing w:after="80"/>
        <w:jc w:val="center"/>
      </w:pPr>
      <w:r>
        <w:rPr>
          <w:rFonts w:ascii="Times New Roman" w:hAnsi="Times New Roman"/>
          <w:b w:val="0"/>
          <w:i w:val="0"/>
          <w:color w:val="000000"/>
          <w:sz w:val="24"/>
        </w:rPr>
        <w:t>Étudiant en 4ᵉ année du Cycle Ingénieur (ING 4)</w:t>
      </w:r>
    </w:p>
    <w:p/>
    <w:p>
      <w:pPr>
        <w:spacing w:after="80"/>
        <w:jc w:val="center"/>
      </w:pPr>
      <w:r>
        <w:rPr>
          <w:rFonts w:ascii="Times New Roman" w:hAnsi="Times New Roman"/>
          <w:b w:val="0"/>
          <w:i w:val="0"/>
          <w:color w:val="000000"/>
          <w:sz w:val="24"/>
        </w:rPr>
        <w:t>Sous l'encadrement de :</w:t>
      </w:r>
    </w:p>
    <w:tbl>
      <w:tblPr>
        <w:tblW w:type="auto" w:w="0"/>
        <w:tblLook w:firstColumn="1" w:firstRow="1" w:lastColumn="0" w:lastRow="0" w:noHBand="0" w:noVBand="1" w:val="04A0"/>
      </w:tblPr>
      <w:tblGrid>
        <w:gridCol w:w="4703"/>
        <w:gridCol w:w="4703"/>
      </w:tblGrid>
      <w:tr>
        <w:tc>
          <w:tcPr>
            <w:tcW w:type="dxa" w:w="4703"/>
          </w:tcPr>
          <w:p>
            <w:pPr>
              <w:jc w:val="center"/>
            </w:pPr>
            <w:r>
              <w:rPr>
                <w:rFonts w:ascii="Times New Roman" w:hAnsi="Times New Roman"/>
                <w:i/>
                <w:color w:val="C8102E"/>
                <w:sz w:val="22"/>
              </w:rPr>
              <w:t>Encadreur académique :</w:t>
              <w:br/>
              <w:t>[Nom]</w:t>
              <w:br/>
              <w:t>[Titre / grade]</w:t>
            </w:r>
          </w:p>
        </w:tc>
        <w:tc>
          <w:tcPr>
            <w:tcW w:type="dxa" w:w="4703"/>
          </w:tcPr>
          <w:p>
            <w:pPr>
              <w:jc w:val="center"/>
            </w:pPr>
            <w:r>
              <w:rPr>
                <w:rFonts w:ascii="Times New Roman" w:hAnsi="Times New Roman"/>
                <w:i/>
                <w:color w:val="C8102E"/>
                <w:sz w:val="22"/>
              </w:rPr>
              <w:t>Encadreur professionnel :</w:t>
              <w:br/>
              <w:t>[Nom]</w:t>
              <w:br/>
              <w:t>[Fonction à Afriland First Bank]</w:t>
            </w:r>
          </w:p>
        </w:tc>
      </w:tr>
    </w:tbl>
    <w:p/>
    <w:p>
      <w:pPr>
        <w:spacing w:after="80"/>
        <w:jc w:val="center"/>
      </w:pPr>
      <w:r>
        <w:rPr>
          <w:rFonts w:ascii="Times New Roman" w:hAnsi="Times New Roman"/>
          <w:b/>
          <w:i w:val="0"/>
          <w:color w:val="000000"/>
          <w:sz w:val="24"/>
        </w:rPr>
        <w:t>Année académique 2025 – 2026</w:t>
      </w:r>
    </w:p>
    <w:p>
      <w:r>
        <w:br w:type="page"/>
      </w:r>
    </w:p>
    <w:p>
      <w:pPr>
        <w:spacing w:before="240" w:after="160" w:line="276" w:lineRule="auto"/>
        <w:jc w:val="left"/>
      </w:pPr>
      <w:r>
        <w:rPr>
          <w:rFonts w:ascii="Times New Roman" w:hAnsi="Times New Roman"/>
          <w:b/>
          <w:color w:val="000000"/>
          <w:sz w:val="28"/>
        </w:rPr>
        <w:t>DÉDICACE</w:t>
      </w:r>
    </w:p>
    <w:p/>
    <w:p>
      <w:pPr>
        <w:spacing w:after="80"/>
        <w:jc w:val="center"/>
      </w:pPr>
      <w:r>
        <w:rPr>
          <w:rFonts w:ascii="Times New Roman" w:hAnsi="Times New Roman"/>
          <w:b w:val="0"/>
          <w:i w:val="0"/>
          <w:color w:val="000000"/>
          <w:sz w:val="24"/>
        </w:rPr>
        <w:t>À</w:t>
      </w:r>
    </w:p>
    <w:p>
      <w:pPr>
        <w:jc w:val="both"/>
      </w:pPr>
      <w:r>
        <w:rPr>
          <w:rFonts w:ascii="Times New Roman" w:hAnsi="Times New Roman"/>
          <w:i/>
          <w:color w:val="C8102E"/>
          <w:sz w:val="24"/>
        </w:rPr>
        <w:t>[ La dédicace s'adresse à UNE seule personne ou entité (ex. : à mes parents, à ma mère…). Rédigez ici une phrase brève et sobre. ]</w:t>
      </w:r>
    </w:p>
    <w:p>
      <w:r>
        <w:br w:type="page"/>
      </w:r>
    </w:p>
    <w:p>
      <w:pPr>
        <w:spacing w:before="240" w:after="160" w:line="276" w:lineRule="auto"/>
        <w:jc w:val="left"/>
      </w:pPr>
      <w:r>
        <w:rPr>
          <w:rFonts w:ascii="Times New Roman" w:hAnsi="Times New Roman"/>
          <w:b/>
          <w:color w:val="000000"/>
          <w:sz w:val="28"/>
        </w:rPr>
        <w:t>REMERCIEMENTS</w:t>
      </w:r>
    </w:p>
    <w:p>
      <w:pPr>
        <w:spacing w:line="276" w:lineRule="auto" w:after="120"/>
        <w:ind w:firstLine="567"/>
        <w:jc w:val="both"/>
      </w:pPr>
      <w:r>
        <w:rPr>
          <w:rFonts w:ascii="Times New Roman" w:hAnsi="Times New Roman"/>
          <w:sz w:val="24"/>
        </w:rPr>
        <w:t>Au terme de ce stage, nous tenons à exprimer notre profonde gratitude à toutes les personnes qui ont contribué, de près ou de loin, à sa réussite et à l'élaboration du présent rapport.</w:t>
      </w:r>
    </w:p>
    <w:p>
      <w:pPr>
        <w:spacing w:line="276" w:lineRule="auto" w:after="120"/>
        <w:ind w:firstLine="567"/>
        <w:jc w:val="both"/>
      </w:pPr>
      <w:r>
        <w:rPr>
          <w:rFonts w:ascii="Times New Roman" w:hAnsi="Times New Roman"/>
          <w:sz w:val="24"/>
        </w:rPr>
        <w:t>Nous remercions la Direction de l'Institut Saint Jean pour la qualité de la formation reçue.</w:t>
      </w:r>
    </w:p>
    <w:p>
      <w:pPr>
        <w:jc w:val="both"/>
      </w:pPr>
      <w:r>
        <w:rPr>
          <w:rFonts w:ascii="Times New Roman" w:hAnsi="Times New Roman"/>
          <w:i/>
          <w:color w:val="C8102E"/>
          <w:sz w:val="24"/>
        </w:rPr>
        <w:t>[ Remerciez nommément : votre encadreur académique, votre encadreur professionnel à Afriland First Bank, le responsable de la Direction des Recherches et de l'Innovation, l'équipe qui vous a accueilli(e), votre famille. Évitez les remerciements fantaisistes. ]</w:t>
      </w:r>
    </w:p>
    <w:p>
      <w:r>
        <w:br w:type="page"/>
      </w:r>
    </w:p>
    <w:p>
      <w:pPr>
        <w:spacing w:before="240" w:after="160" w:line="276" w:lineRule="auto"/>
        <w:jc w:val="left"/>
      </w:pPr>
      <w:r>
        <w:rPr>
          <w:rFonts w:ascii="Times New Roman" w:hAnsi="Times New Roman"/>
          <w:b/>
          <w:color w:val="000000"/>
          <w:sz w:val="28"/>
        </w:rPr>
        <w:t>SOMMAIRE</w:t>
      </w:r>
    </w:p>
    <w:p>
      <w:pPr>
        <w:jc w:val="both"/>
      </w:pPr>
      <w:r>
        <w:rPr>
          <w:rFonts w:ascii="Times New Roman" w:hAnsi="Times New Roman"/>
          <w:i/>
          <w:color w:val="C8102E"/>
          <w:sz w:val="24"/>
        </w:rPr>
        <w:t>[ À générer automatiquement dans Word : onglet Références → Table des matières (2 niveaux de titre au maximum). Le sommaire reprend : l'introduction générale, le titre des chapitres et des sections, la conclusion générale. ]</w:t>
      </w:r>
    </w:p>
    <w:p>
      <w:r>
        <w:br w:type="page"/>
      </w:r>
    </w:p>
    <w:p>
      <w:pPr>
        <w:spacing w:before="240" w:after="160" w:line="276" w:lineRule="auto"/>
        <w:jc w:val="left"/>
      </w:pPr>
      <w:r>
        <w:rPr>
          <w:rFonts w:ascii="Times New Roman" w:hAnsi="Times New Roman"/>
          <w:b/>
          <w:color w:val="000000"/>
          <w:sz w:val="28"/>
        </w:rPr>
        <w:t>LISTE DES ABRÉVIATIONS</w:t>
      </w:r>
    </w:p>
    <w:tbl>
      <w:tblPr>
        <w:tblStyle w:val="TableGrid"/>
        <w:tblW w:type="auto" w:w="0"/>
        <w:tblLook w:firstColumn="1" w:firstRow="1" w:lastColumn="0" w:lastRow="0" w:noHBand="0" w:noVBand="1" w:val="04A0"/>
      </w:tblPr>
      <w:tblGrid>
        <w:gridCol w:w="4703"/>
        <w:gridCol w:w="4703"/>
      </w:tblGrid>
      <w:tr>
        <w:tc>
          <w:tcPr>
            <w:tcW w:type="dxa" w:w="4703"/>
          </w:tcPr>
          <w:p>
            <w:r>
              <w:rPr>
                <w:rFonts w:ascii="Times New Roman" w:hAnsi="Times New Roman"/>
                <w:b/>
                <w:sz w:val="22"/>
              </w:rPr>
              <w:t>Sigle</w:t>
            </w:r>
          </w:p>
        </w:tc>
        <w:tc>
          <w:tcPr>
            <w:tcW w:type="dxa" w:w="4703"/>
          </w:tcPr>
          <w:p>
            <w:r>
              <w:rPr>
                <w:rFonts w:ascii="Times New Roman" w:hAnsi="Times New Roman"/>
                <w:b/>
                <w:sz w:val="22"/>
              </w:rPr>
              <w:t>Signification</w:t>
            </w:r>
          </w:p>
        </w:tc>
      </w:tr>
      <w:tr>
        <w:tc>
          <w:tcPr>
            <w:tcW w:type="dxa" w:w="4703"/>
          </w:tcPr>
          <w:p>
            <w:r>
              <w:rPr>
                <w:rFonts w:ascii="Times New Roman" w:hAnsi="Times New Roman"/>
                <w:b/>
                <w:sz w:val="22"/>
              </w:rPr>
              <w:t>AFB</w:t>
            </w:r>
          </w:p>
        </w:tc>
        <w:tc>
          <w:tcPr>
            <w:tcW w:type="dxa" w:w="4703"/>
          </w:tcPr>
          <w:p>
            <w:r>
              <w:rPr>
                <w:rFonts w:ascii="Times New Roman" w:hAnsi="Times New Roman"/>
                <w:sz w:val="22"/>
              </w:rPr>
              <w:t>Afriland First Bank</w:t>
            </w:r>
          </w:p>
        </w:tc>
      </w:tr>
      <w:tr>
        <w:tc>
          <w:tcPr>
            <w:tcW w:type="dxa" w:w="4703"/>
          </w:tcPr>
          <w:p>
            <w:r>
              <w:rPr>
                <w:rFonts w:ascii="Times New Roman" w:hAnsi="Times New Roman"/>
                <w:b/>
                <w:sz w:val="22"/>
              </w:rPr>
              <w:t>ANIF</w:t>
            </w:r>
          </w:p>
        </w:tc>
        <w:tc>
          <w:tcPr>
            <w:tcW w:type="dxa" w:w="4703"/>
          </w:tcPr>
          <w:p>
            <w:r>
              <w:rPr>
                <w:rFonts w:ascii="Times New Roman" w:hAnsi="Times New Roman"/>
                <w:sz w:val="22"/>
              </w:rPr>
              <w:t>Agence Nationale d'Investigation Financière</w:t>
            </w:r>
          </w:p>
        </w:tc>
      </w:tr>
      <w:tr>
        <w:tc>
          <w:tcPr>
            <w:tcW w:type="dxa" w:w="4703"/>
          </w:tcPr>
          <w:p>
            <w:r>
              <w:rPr>
                <w:rFonts w:ascii="Times New Roman" w:hAnsi="Times New Roman"/>
                <w:b/>
                <w:sz w:val="22"/>
              </w:rPr>
              <w:t>API</w:t>
            </w:r>
          </w:p>
        </w:tc>
        <w:tc>
          <w:tcPr>
            <w:tcW w:type="dxa" w:w="4703"/>
          </w:tcPr>
          <w:p>
            <w:r>
              <w:rPr>
                <w:rFonts w:ascii="Times New Roman" w:hAnsi="Times New Roman"/>
                <w:sz w:val="22"/>
              </w:rPr>
              <w:t>Application Programming Interface (interface de programmation)</w:t>
            </w:r>
          </w:p>
        </w:tc>
      </w:tr>
      <w:tr>
        <w:tc>
          <w:tcPr>
            <w:tcW w:type="dxa" w:w="4703"/>
          </w:tcPr>
          <w:p>
            <w:r>
              <w:rPr>
                <w:rFonts w:ascii="Times New Roman" w:hAnsi="Times New Roman"/>
                <w:b/>
                <w:sz w:val="22"/>
              </w:rPr>
              <w:t>B2C</w:t>
            </w:r>
          </w:p>
        </w:tc>
        <w:tc>
          <w:tcPr>
            <w:tcW w:type="dxa" w:w="4703"/>
          </w:tcPr>
          <w:p>
            <w:r>
              <w:rPr>
                <w:rFonts w:ascii="Times New Roman" w:hAnsi="Times New Roman"/>
                <w:sz w:val="22"/>
              </w:rPr>
              <w:t>Business to Consumer (Azure Active Directory Business to Consumer)</w:t>
            </w:r>
          </w:p>
        </w:tc>
      </w:tr>
      <w:tr>
        <w:tc>
          <w:tcPr>
            <w:tcW w:type="dxa" w:w="4703"/>
          </w:tcPr>
          <w:p>
            <w:r>
              <w:rPr>
                <w:rFonts w:ascii="Times New Roman" w:hAnsi="Times New Roman"/>
                <w:b/>
                <w:sz w:val="22"/>
              </w:rPr>
              <w:t>CEMAC</w:t>
            </w:r>
          </w:p>
        </w:tc>
        <w:tc>
          <w:tcPr>
            <w:tcW w:type="dxa" w:w="4703"/>
          </w:tcPr>
          <w:p>
            <w:r>
              <w:rPr>
                <w:rFonts w:ascii="Times New Roman" w:hAnsi="Times New Roman"/>
                <w:sz w:val="22"/>
              </w:rPr>
              <w:t>Communauté Économique et Monétaire de l'Afrique Centrale</w:t>
            </w:r>
          </w:p>
        </w:tc>
      </w:tr>
      <w:tr>
        <w:tc>
          <w:tcPr>
            <w:tcW w:type="dxa" w:w="4703"/>
          </w:tcPr>
          <w:p>
            <w:r>
              <w:rPr>
                <w:rFonts w:ascii="Times New Roman" w:hAnsi="Times New Roman"/>
                <w:b/>
                <w:sz w:val="22"/>
              </w:rPr>
              <w:t>COBAC</w:t>
            </w:r>
          </w:p>
        </w:tc>
        <w:tc>
          <w:tcPr>
            <w:tcW w:type="dxa" w:w="4703"/>
          </w:tcPr>
          <w:p>
            <w:r>
              <w:rPr>
                <w:rFonts w:ascii="Times New Roman" w:hAnsi="Times New Roman"/>
                <w:sz w:val="22"/>
              </w:rPr>
              <w:t>Commission Bancaire de l'Afrique Centrale</w:t>
            </w:r>
          </w:p>
        </w:tc>
      </w:tr>
      <w:tr>
        <w:tc>
          <w:tcPr>
            <w:tcW w:type="dxa" w:w="4703"/>
          </w:tcPr>
          <w:p>
            <w:r>
              <w:rPr>
                <w:rFonts w:ascii="Times New Roman" w:hAnsi="Times New Roman"/>
                <w:b/>
                <w:sz w:val="22"/>
              </w:rPr>
              <w:t>DRI</w:t>
            </w:r>
          </w:p>
        </w:tc>
        <w:tc>
          <w:tcPr>
            <w:tcW w:type="dxa" w:w="4703"/>
          </w:tcPr>
          <w:p>
            <w:r>
              <w:rPr>
                <w:rFonts w:ascii="Times New Roman" w:hAnsi="Times New Roman"/>
                <w:sz w:val="22"/>
              </w:rPr>
              <w:t>Direction des Recherches et de l'Innovation</w:t>
            </w:r>
          </w:p>
        </w:tc>
      </w:tr>
      <w:tr>
        <w:tc>
          <w:tcPr>
            <w:tcW w:type="dxa" w:w="4703"/>
          </w:tcPr>
          <w:p>
            <w:r>
              <w:rPr>
                <w:rFonts w:ascii="Times New Roman" w:hAnsi="Times New Roman"/>
                <w:b/>
                <w:sz w:val="22"/>
              </w:rPr>
              <w:t>DCONF</w:t>
            </w:r>
          </w:p>
        </w:tc>
        <w:tc>
          <w:tcPr>
            <w:tcW w:type="dxa" w:w="4703"/>
          </w:tcPr>
          <w:p>
            <w:r>
              <w:rPr>
                <w:rFonts w:ascii="Times New Roman" w:hAnsi="Times New Roman"/>
                <w:sz w:val="22"/>
              </w:rPr>
              <w:t>Direction de la Conformité</w:t>
            </w:r>
          </w:p>
        </w:tc>
      </w:tr>
      <w:tr>
        <w:tc>
          <w:tcPr>
            <w:tcW w:type="dxa" w:w="4703"/>
          </w:tcPr>
          <w:p>
            <w:r>
              <w:rPr>
                <w:rFonts w:ascii="Times New Roman" w:hAnsi="Times New Roman"/>
                <w:b/>
                <w:sz w:val="22"/>
              </w:rPr>
              <w:t>DSI</w:t>
            </w:r>
          </w:p>
        </w:tc>
        <w:tc>
          <w:tcPr>
            <w:tcW w:type="dxa" w:w="4703"/>
          </w:tcPr>
          <w:p>
            <w:r>
              <w:rPr>
                <w:rFonts w:ascii="Times New Roman" w:hAnsi="Times New Roman"/>
                <w:sz w:val="22"/>
              </w:rPr>
              <w:t>Direction des Systèmes d'Information</w:t>
            </w:r>
          </w:p>
        </w:tc>
      </w:tr>
      <w:tr>
        <w:tc>
          <w:tcPr>
            <w:tcW w:type="dxa" w:w="4703"/>
          </w:tcPr>
          <w:p>
            <w:r>
              <w:rPr>
                <w:rFonts w:ascii="Times New Roman" w:hAnsi="Times New Roman"/>
                <w:b/>
                <w:sz w:val="22"/>
              </w:rPr>
              <w:t>FATCA</w:t>
            </w:r>
          </w:p>
        </w:tc>
        <w:tc>
          <w:tcPr>
            <w:tcW w:type="dxa" w:w="4703"/>
          </w:tcPr>
          <w:p>
            <w:r>
              <w:rPr>
                <w:rFonts w:ascii="Times New Roman" w:hAnsi="Times New Roman"/>
                <w:sz w:val="22"/>
              </w:rPr>
              <w:t>Foreign Account Tax Compliance Act</w:t>
            </w:r>
          </w:p>
        </w:tc>
      </w:tr>
      <w:tr>
        <w:tc>
          <w:tcPr>
            <w:tcW w:type="dxa" w:w="4703"/>
          </w:tcPr>
          <w:p>
            <w:r>
              <w:rPr>
                <w:rFonts w:ascii="Times New Roman" w:hAnsi="Times New Roman"/>
                <w:b/>
                <w:sz w:val="22"/>
              </w:rPr>
              <w:t>GAFI</w:t>
            </w:r>
          </w:p>
        </w:tc>
        <w:tc>
          <w:tcPr>
            <w:tcW w:type="dxa" w:w="4703"/>
          </w:tcPr>
          <w:p>
            <w:r>
              <w:rPr>
                <w:rFonts w:ascii="Times New Roman" w:hAnsi="Times New Roman"/>
                <w:sz w:val="22"/>
              </w:rPr>
              <w:t>Groupe d'Action Financière</w:t>
            </w:r>
          </w:p>
        </w:tc>
      </w:tr>
      <w:tr>
        <w:tc>
          <w:tcPr>
            <w:tcW w:type="dxa" w:w="4703"/>
          </w:tcPr>
          <w:p>
            <w:r>
              <w:rPr>
                <w:rFonts w:ascii="Times New Roman" w:hAnsi="Times New Roman"/>
                <w:b/>
                <w:sz w:val="22"/>
              </w:rPr>
              <w:t>KYC</w:t>
            </w:r>
          </w:p>
        </w:tc>
        <w:tc>
          <w:tcPr>
            <w:tcW w:type="dxa" w:w="4703"/>
          </w:tcPr>
          <w:p>
            <w:r>
              <w:rPr>
                <w:rFonts w:ascii="Times New Roman" w:hAnsi="Times New Roman"/>
                <w:sz w:val="22"/>
              </w:rPr>
              <w:t>Know Your Customer (connaissance du client)</w:t>
            </w:r>
          </w:p>
        </w:tc>
      </w:tr>
      <w:tr>
        <w:tc>
          <w:tcPr>
            <w:tcW w:type="dxa" w:w="4703"/>
          </w:tcPr>
          <w:p>
            <w:r>
              <w:rPr>
                <w:rFonts w:ascii="Times New Roman" w:hAnsi="Times New Roman"/>
                <w:b/>
                <w:sz w:val="22"/>
              </w:rPr>
              <w:t>KYP</w:t>
            </w:r>
          </w:p>
        </w:tc>
        <w:tc>
          <w:tcPr>
            <w:tcW w:type="dxa" w:w="4703"/>
          </w:tcPr>
          <w:p>
            <w:r>
              <w:rPr>
                <w:rFonts w:ascii="Times New Roman" w:hAnsi="Times New Roman"/>
                <w:sz w:val="22"/>
              </w:rPr>
              <w:t>Know Your Partner (connaissance du partenaire)</w:t>
            </w:r>
          </w:p>
        </w:tc>
      </w:tr>
      <w:tr>
        <w:tc>
          <w:tcPr>
            <w:tcW w:type="dxa" w:w="4703"/>
          </w:tcPr>
          <w:p>
            <w:r>
              <w:rPr>
                <w:rFonts w:ascii="Times New Roman" w:hAnsi="Times New Roman"/>
                <w:b/>
                <w:sz w:val="22"/>
              </w:rPr>
              <w:t>KYS</w:t>
            </w:r>
          </w:p>
        </w:tc>
        <w:tc>
          <w:tcPr>
            <w:tcW w:type="dxa" w:w="4703"/>
          </w:tcPr>
          <w:p>
            <w:r>
              <w:rPr>
                <w:rFonts w:ascii="Times New Roman" w:hAnsi="Times New Roman"/>
                <w:sz w:val="22"/>
              </w:rPr>
              <w:t>Know Your Supplier (connaissance du fournisseur)</w:t>
            </w:r>
          </w:p>
        </w:tc>
      </w:tr>
      <w:tr>
        <w:tc>
          <w:tcPr>
            <w:tcW w:type="dxa" w:w="4703"/>
          </w:tcPr>
          <w:p>
            <w:r>
              <w:rPr>
                <w:rFonts w:ascii="Times New Roman" w:hAnsi="Times New Roman"/>
                <w:b/>
                <w:sz w:val="22"/>
              </w:rPr>
              <w:t>LBC-FT</w:t>
            </w:r>
          </w:p>
        </w:tc>
        <w:tc>
          <w:tcPr>
            <w:tcW w:type="dxa" w:w="4703"/>
          </w:tcPr>
          <w:p>
            <w:r>
              <w:rPr>
                <w:rFonts w:ascii="Times New Roman" w:hAnsi="Times New Roman"/>
                <w:sz w:val="22"/>
              </w:rPr>
              <w:t>Lutte contre le Blanchiment de Capitaux et le Financement du Terrorisme</w:t>
            </w:r>
          </w:p>
        </w:tc>
      </w:tr>
      <w:tr>
        <w:tc>
          <w:tcPr>
            <w:tcW w:type="dxa" w:w="4703"/>
          </w:tcPr>
          <w:p>
            <w:r>
              <w:rPr>
                <w:rFonts w:ascii="Times New Roman" w:hAnsi="Times New Roman"/>
                <w:b/>
                <w:sz w:val="22"/>
              </w:rPr>
              <w:t>MVP</w:t>
            </w:r>
          </w:p>
        </w:tc>
        <w:tc>
          <w:tcPr>
            <w:tcW w:type="dxa" w:w="4703"/>
          </w:tcPr>
          <w:p>
            <w:r>
              <w:rPr>
                <w:rFonts w:ascii="Times New Roman" w:hAnsi="Times New Roman"/>
                <w:sz w:val="22"/>
              </w:rPr>
              <w:t>Minimum Viable Product (produit minimum viable)</w:t>
            </w:r>
          </w:p>
        </w:tc>
      </w:tr>
      <w:tr>
        <w:tc>
          <w:tcPr>
            <w:tcW w:type="dxa" w:w="4703"/>
          </w:tcPr>
          <w:p>
            <w:r>
              <w:rPr>
                <w:rFonts w:ascii="Times New Roman" w:hAnsi="Times New Roman"/>
                <w:b/>
                <w:sz w:val="22"/>
              </w:rPr>
              <w:t>OTP</w:t>
            </w:r>
          </w:p>
        </w:tc>
        <w:tc>
          <w:tcPr>
            <w:tcW w:type="dxa" w:w="4703"/>
          </w:tcPr>
          <w:p>
            <w:r>
              <w:rPr>
                <w:rFonts w:ascii="Times New Roman" w:hAnsi="Times New Roman"/>
                <w:sz w:val="22"/>
              </w:rPr>
              <w:t>One-Time Password (mot de passe à usage unique)</w:t>
            </w:r>
          </w:p>
        </w:tc>
      </w:tr>
      <w:tr>
        <w:tc>
          <w:tcPr>
            <w:tcW w:type="dxa" w:w="4703"/>
          </w:tcPr>
          <w:p>
            <w:r>
              <w:rPr>
                <w:rFonts w:ascii="Times New Roman" w:hAnsi="Times New Roman"/>
                <w:b/>
                <w:sz w:val="22"/>
              </w:rPr>
              <w:t>PPE</w:t>
            </w:r>
          </w:p>
        </w:tc>
        <w:tc>
          <w:tcPr>
            <w:tcW w:type="dxa" w:w="4703"/>
          </w:tcPr>
          <w:p>
            <w:r>
              <w:rPr>
                <w:rFonts w:ascii="Times New Roman" w:hAnsi="Times New Roman"/>
                <w:sz w:val="22"/>
              </w:rPr>
              <w:t>Personne Politiquement Exposée</w:t>
            </w:r>
          </w:p>
        </w:tc>
      </w:tr>
      <w:tr>
        <w:tc>
          <w:tcPr>
            <w:tcW w:type="dxa" w:w="4703"/>
          </w:tcPr>
          <w:p>
            <w:r>
              <w:rPr>
                <w:rFonts w:ascii="Times New Roman" w:hAnsi="Times New Roman"/>
                <w:b/>
                <w:sz w:val="22"/>
              </w:rPr>
              <w:t>RBAC</w:t>
            </w:r>
          </w:p>
        </w:tc>
        <w:tc>
          <w:tcPr>
            <w:tcW w:type="dxa" w:w="4703"/>
          </w:tcPr>
          <w:p>
            <w:r>
              <w:rPr>
                <w:rFonts w:ascii="Times New Roman" w:hAnsi="Times New Roman"/>
                <w:sz w:val="22"/>
              </w:rPr>
              <w:t>Role-Based Access Control (contrôle d'accès par rôles)</w:t>
            </w:r>
          </w:p>
        </w:tc>
      </w:tr>
      <w:tr>
        <w:tc>
          <w:tcPr>
            <w:tcW w:type="dxa" w:w="4703"/>
          </w:tcPr>
          <w:p>
            <w:r>
              <w:rPr>
                <w:rFonts w:ascii="Times New Roman" w:hAnsi="Times New Roman"/>
                <w:b/>
                <w:sz w:val="22"/>
              </w:rPr>
              <w:t>RCSI</w:t>
            </w:r>
          </w:p>
        </w:tc>
        <w:tc>
          <w:tcPr>
            <w:tcW w:type="dxa" w:w="4703"/>
          </w:tcPr>
          <w:p>
            <w:r>
              <w:rPr>
                <w:rFonts w:ascii="Times New Roman" w:hAnsi="Times New Roman"/>
                <w:sz w:val="22"/>
              </w:rPr>
              <w:t>Responsable du Contrôle de Sécurité et de l'Information</w:t>
            </w:r>
          </w:p>
        </w:tc>
      </w:tr>
      <w:tr>
        <w:tc>
          <w:tcPr>
            <w:tcW w:type="dxa" w:w="4703"/>
          </w:tcPr>
          <w:p>
            <w:r>
              <w:rPr>
                <w:rFonts w:ascii="Times New Roman" w:hAnsi="Times New Roman"/>
                <w:b/>
                <w:sz w:val="22"/>
              </w:rPr>
              <w:t>SLA</w:t>
            </w:r>
          </w:p>
        </w:tc>
        <w:tc>
          <w:tcPr>
            <w:tcW w:type="dxa" w:w="4703"/>
          </w:tcPr>
          <w:p>
            <w:r>
              <w:rPr>
                <w:rFonts w:ascii="Times New Roman" w:hAnsi="Times New Roman"/>
                <w:sz w:val="22"/>
              </w:rPr>
              <w:t>Service Level Agreement (accord de niveau de service)</w:t>
            </w:r>
          </w:p>
        </w:tc>
      </w:tr>
      <w:tr>
        <w:tc>
          <w:tcPr>
            <w:tcW w:type="dxa" w:w="4703"/>
          </w:tcPr>
          <w:p>
            <w:r>
              <w:rPr>
                <w:rFonts w:ascii="Times New Roman" w:hAnsi="Times New Roman"/>
                <w:b/>
                <w:sz w:val="22"/>
              </w:rPr>
              <w:t>UBO</w:t>
            </w:r>
          </w:p>
        </w:tc>
        <w:tc>
          <w:tcPr>
            <w:tcW w:type="dxa" w:w="4703"/>
          </w:tcPr>
          <w:p>
            <w:r>
              <w:rPr>
                <w:rFonts w:ascii="Times New Roman" w:hAnsi="Times New Roman"/>
                <w:sz w:val="22"/>
              </w:rPr>
              <w:t>Ultimate Beneficial Owner (bénéficiaire effectif ultime)</w:t>
            </w:r>
          </w:p>
        </w:tc>
      </w:tr>
      <w:tr>
        <w:tc>
          <w:tcPr>
            <w:tcW w:type="dxa" w:w="4703"/>
          </w:tcPr>
          <w:p>
            <w:r>
              <w:rPr>
                <w:rFonts w:ascii="Times New Roman" w:hAnsi="Times New Roman"/>
                <w:b/>
                <w:sz w:val="22"/>
              </w:rPr>
              <w:t>UML</w:t>
            </w:r>
          </w:p>
        </w:tc>
        <w:tc>
          <w:tcPr>
            <w:tcW w:type="dxa" w:w="4703"/>
          </w:tcPr>
          <w:p>
            <w:r>
              <w:rPr>
                <w:rFonts w:ascii="Times New Roman" w:hAnsi="Times New Roman"/>
                <w:sz w:val="22"/>
              </w:rPr>
              <w:t>Unified Modeling Language (langage de modélisation unifié)</w:t>
            </w:r>
          </w:p>
        </w:tc>
      </w:tr>
    </w:tbl>
    <w:p>
      <w:r>
        <w:br w:type="page"/>
      </w:r>
    </w:p>
    <w:p>
      <w:pPr>
        <w:spacing w:before="240" w:after="160" w:line="276" w:lineRule="auto"/>
        <w:jc w:val="left"/>
      </w:pPr>
      <w:r>
        <w:rPr>
          <w:rFonts w:ascii="Times New Roman" w:hAnsi="Times New Roman"/>
          <w:b/>
          <w:color w:val="000000"/>
          <w:sz w:val="28"/>
        </w:rPr>
        <w:t>AVANT-PROPOS</w:t>
      </w:r>
    </w:p>
    <w:p>
      <w:pPr>
        <w:spacing w:line="276" w:lineRule="auto" w:after="120"/>
        <w:ind w:firstLine="567"/>
        <w:jc w:val="both"/>
      </w:pPr>
      <w:r>
        <w:rPr>
          <w:rFonts w:ascii="Times New Roman" w:hAnsi="Times New Roman"/>
          <w:sz w:val="24"/>
        </w:rPr>
        <w:t>L'Institut Saint Jean (ISJ), sous la tutelle académique de l'Université de Yaoundé I et de l'École Nationale Supérieure Polytechnique de Yaoundé (POLYTECH Yaoundé), est une Institution Privée d'Enseignement Supérieur (IPES) camerounaise. Nouvellement accrédité CTI et labellisé EUR-ACE, Saint Jean Ingénieur figure parmi les toutes premières écoles privées d'Afrique subsaharienne à bénéficier de cette reconnaissance, laquelle permet aux titulaires du diplôme d'ingénieur de se prévaloir du titre d'ingénieur diplômé reconnu à l'international.</w:t>
      </w:r>
    </w:p>
    <w:p>
      <w:pPr>
        <w:spacing w:line="276" w:lineRule="auto" w:after="120"/>
        <w:ind w:firstLine="567"/>
        <w:jc w:val="both"/>
      </w:pPr>
      <w:r>
        <w:rPr>
          <w:rFonts w:ascii="Times New Roman" w:hAnsi="Times New Roman"/>
          <w:sz w:val="24"/>
        </w:rPr>
        <w:t>L'ISJ forme, en français et en anglais, des ingénieurs et des licenciés professionnels, et entretient un réseau d'écoles partenaires en Europe et en Amérique du Nord (UTT, 3IL, ISEP, EFREI, EPF, UMONS, ESTP, CESI, INP Grenoble, INP Clermont, ESME, ESIEA, BUILDERS, UTBM, Ontario Tech University, Northern Alberta Institute of Technology, entre autres).</w:t>
      </w:r>
    </w:p>
    <w:p>
      <w:pPr>
        <w:spacing w:line="276" w:lineRule="auto" w:after="120"/>
        <w:ind w:firstLine="567"/>
        <w:jc w:val="both"/>
      </w:pPr>
      <w:r>
        <w:rPr>
          <w:rFonts w:ascii="Times New Roman" w:hAnsi="Times New Roman"/>
          <w:sz w:val="24"/>
        </w:rPr>
        <w:t>C'est dans ce cadre, et conformément aux exigences pédagogiques du cycle ingénieur, que nous avons effectué un stage académique de trois mois au sein d'Afriland First Bank, dont le présent rapport rend compte.</w:t>
      </w:r>
    </w:p>
    <w:p>
      <w:r>
        <w:br w:type="page"/>
      </w:r>
    </w:p>
    <w:p>
      <w:pPr>
        <w:spacing w:before="240" w:after="160" w:line="276" w:lineRule="auto"/>
        <w:jc w:val="left"/>
      </w:pPr>
      <w:r>
        <w:rPr>
          <w:rFonts w:ascii="Times New Roman" w:hAnsi="Times New Roman"/>
          <w:b/>
          <w:color w:val="000000"/>
          <w:sz w:val="28"/>
        </w:rPr>
        <w:t>INTRODUCTION GÉNÉRALE</w:t>
      </w:r>
    </w:p>
    <w:p>
      <w:pPr>
        <w:spacing w:line="276" w:lineRule="auto" w:after="120"/>
        <w:ind w:firstLine="567"/>
        <w:jc w:val="both"/>
      </w:pPr>
      <w:r>
        <w:rPr>
          <w:rFonts w:ascii="Times New Roman" w:hAnsi="Times New Roman"/>
          <w:sz w:val="24"/>
        </w:rPr>
        <w:t>Les établissements de crédit de la zone CEMAC évoluent dans un environnement réglementaire de plus en plus exigeant en matière de lutte contre le blanchiment de capitaux et le financement du terrorisme (LBC-FT). Le Règlement COBAC R-2023/01, entré en vigueur le 1ᵉʳ juillet 2024, impose aux banques une connaissance rigoureuse non seulement de leurs clients (Know Your Customer), mais aussi de leurs partenaires et de leurs fournisseurs (Know Your Partner et Know Your Supplier). C'est dans ce contexte que s'inscrit notre stage, effectué du 04 mai au 03 août 2026 au sein de la Direction des Recherches et de l'Innovation (DRI) d'Afriland First Bank.</w:t>
      </w:r>
    </w:p>
    <w:p>
      <w:pPr>
        <w:spacing w:before="160" w:after="80"/>
        <w:jc w:val="left"/>
      </w:pPr>
      <w:r>
        <w:rPr>
          <w:rFonts w:ascii="Times New Roman" w:hAnsi="Times New Roman"/>
          <w:b/>
          <w:i/>
          <w:color w:val="000000"/>
          <w:sz w:val="24"/>
        </w:rPr>
        <w:t>a. Contexte général</w:t>
      </w:r>
    </w:p>
    <w:p>
      <w:pPr>
        <w:spacing w:line="276" w:lineRule="auto" w:after="120"/>
        <w:ind w:firstLine="567"/>
        <w:jc w:val="both"/>
      </w:pPr>
      <w:r>
        <w:rPr>
          <w:rFonts w:ascii="Times New Roman" w:hAnsi="Times New Roman"/>
          <w:sz w:val="24"/>
        </w:rPr>
        <w:t>Afriland First Bank entretient des relations permanentes avec un volume important de tiers non clients : correspondants bancaires, établissements de microfinance, apporteurs d'affaires et fournisseurs de biens et de services. La connaissance de ces tiers — identification, vérification des bénéficiaires effectifs, contrôle des expositions aux sanctions internationales et mise à jour périodique — était jusqu'ici assurée par un processus manuel, distribué entre plusieurs directions et dépourvu de référentiel unique. Cette situation exposait la banque à un risque réglementaire et réputationnel élevé.</w:t>
      </w:r>
    </w:p>
    <w:p>
      <w:pPr>
        <w:spacing w:before="160" w:after="80"/>
        <w:jc w:val="left"/>
      </w:pPr>
      <w:r>
        <w:rPr>
          <w:rFonts w:ascii="Times New Roman" w:hAnsi="Times New Roman"/>
          <w:b/>
          <w:i/>
          <w:color w:val="000000"/>
          <w:sz w:val="24"/>
        </w:rPr>
        <w:t>b. Définition et classification des concepts</w:t>
      </w:r>
    </w:p>
    <w:p>
      <w:pPr>
        <w:spacing w:line="276" w:lineRule="auto" w:after="120"/>
        <w:ind w:firstLine="567"/>
        <w:jc w:val="both"/>
      </w:pPr>
      <w:r>
        <w:rPr>
          <w:rFonts w:ascii="Times New Roman" w:hAnsi="Times New Roman"/>
          <w:sz w:val="24"/>
        </w:rPr>
        <w:t>Trois notions structurent notre travail. Le KYC (Know Your Customer) désigne le processus de connaissance des clients directs de la banque. Le KYP (Know Your Partner) désigne la connaissance des partenaires institutionnels (banques correspondantes, établissements de microfinance, apporteurs d'affaires), afin de s'assurer que la contrepartie dispose d'un dispositif LBC-FT acceptable. Le KYS (Know Your Supplier) désigne la connaissance des fournisseurs, afin de prévenir la corruption, la fraude et les risques de réputation dans la chaîne d'achat. Notre projet porte exclusivement sur le KYP et le KYS, le KYC étant déjà outillé par ailleurs.</w:t>
      </w:r>
    </w:p>
    <w:p>
      <w:pPr>
        <w:spacing w:before="160" w:after="80"/>
        <w:jc w:val="left"/>
      </w:pPr>
      <w:r>
        <w:rPr>
          <w:rFonts w:ascii="Times New Roman" w:hAnsi="Times New Roman"/>
          <w:b/>
          <w:i/>
          <w:color w:val="000000"/>
          <w:sz w:val="24"/>
        </w:rPr>
        <w:t>c. Problématique</w:t>
      </w:r>
    </w:p>
    <w:p>
      <w:pPr>
        <w:spacing w:line="276" w:lineRule="auto" w:after="120"/>
        <w:ind w:firstLine="567"/>
        <w:jc w:val="both"/>
      </w:pPr>
      <w:r>
        <w:rPr>
          <w:rFonts w:ascii="Times New Roman" w:hAnsi="Times New Roman"/>
          <w:sz w:val="24"/>
        </w:rPr>
        <w:t>La gestion manuelle et non centralisée de la connaissance des partenaires et fournisseurs soulève une question centrale : comment digitaliser et automatiser le processus de connaissance des tiers non clients d'Afriland First Bank afin d'en garantir la conformité au Règlement COBAC R-2023/01, la traçabilité et l'efficacité opérationnelle ?</w:t>
      </w:r>
    </w:p>
    <w:p>
      <w:pPr>
        <w:spacing w:before="160" w:after="80"/>
        <w:jc w:val="left"/>
      </w:pPr>
      <w:r>
        <w:rPr>
          <w:rFonts w:ascii="Times New Roman" w:hAnsi="Times New Roman"/>
          <w:b/>
          <w:i/>
          <w:color w:val="000000"/>
          <w:sz w:val="24"/>
        </w:rPr>
        <w:t>d. Intérêt de l'étude</w:t>
      </w:r>
    </w:p>
    <w:p>
      <w:pPr>
        <w:spacing w:line="276" w:lineRule="auto" w:after="120"/>
        <w:ind w:firstLine="567"/>
        <w:jc w:val="both"/>
      </w:pPr>
      <w:r>
        <w:rPr>
          <w:rFonts w:ascii="Times New Roman" w:hAnsi="Times New Roman"/>
          <w:sz w:val="24"/>
        </w:rPr>
        <w:t>L'intérêt de ce travail est double. Sur le plan réglementaire, il dote la banque d'un dispositif opposable, traçable et exportable à la demande du régulateur. Sur le plan opérationnel, il réduit la charge de collecte et de relance des équipes de conformité, centralise l'ensemble des dossiers dans un référentiel unique et offre aux tiers un espace en libre-service disponible en continu.</w:t>
      </w:r>
    </w:p>
    <w:p>
      <w:pPr>
        <w:spacing w:before="160" w:after="80"/>
        <w:jc w:val="left"/>
      </w:pPr>
      <w:r>
        <w:rPr>
          <w:rFonts w:ascii="Times New Roman" w:hAnsi="Times New Roman"/>
          <w:b/>
          <w:i/>
          <w:color w:val="000000"/>
          <w:sz w:val="24"/>
        </w:rPr>
        <w:t>e. Objectifs</w:t>
      </w:r>
    </w:p>
    <w:p>
      <w:pPr>
        <w:spacing w:line="276" w:lineRule="auto" w:after="120"/>
        <w:ind w:firstLine="567"/>
        <w:jc w:val="both"/>
      </w:pPr>
      <w:r>
        <w:rPr>
          <w:rFonts w:ascii="Times New Roman" w:hAnsi="Times New Roman"/>
          <w:sz w:val="24"/>
        </w:rPr>
        <w:t>L'objectif général est de concevoir et de réaliser un portail de connaissance des partenaires et fournisseurs (KYP/KYS). De manière spécifique, il s'agit de : mettre en place un référentiel unique des tiers ; permettre la saisie en libre-service et le dépôt de pièces par les tiers ; automatiser les contrôles, le screening des sanctions et des personnes politiquement exposées, les validations et les relances ; et fournir aux directions métier des tableaux de bord de pilotage.</w:t>
      </w:r>
    </w:p>
    <w:p>
      <w:pPr>
        <w:spacing w:before="160" w:after="80"/>
        <w:jc w:val="left"/>
      </w:pPr>
      <w:r>
        <w:rPr>
          <w:rFonts w:ascii="Times New Roman" w:hAnsi="Times New Roman"/>
          <w:b/>
          <w:i/>
          <w:color w:val="000000"/>
          <w:sz w:val="24"/>
        </w:rPr>
        <w:t>f. Division du travail</w:t>
      </w:r>
    </w:p>
    <w:p>
      <w:pPr>
        <w:spacing w:line="276" w:lineRule="auto" w:after="120"/>
        <w:ind w:firstLine="567"/>
        <w:jc w:val="both"/>
      </w:pPr>
      <w:r>
        <w:rPr>
          <w:rFonts w:ascii="Times New Roman" w:hAnsi="Times New Roman"/>
          <w:sz w:val="24"/>
        </w:rPr>
        <w:t>Pour répondre à cette problématique, le présent rapport s'articule autour de trois chapitres. Le premier chapitre présente l'entreprise d'accueil, Afriland First Bank, et le déroulement de notre stage. Le deuxième chapitre identifie le problème traité, en analyse l'impact et examine les solutions existantes ainsi que leurs limites. Le troisième chapitre expose la solution que nous proposons, sa démarche de modélisation et sa réalisation technique.</w:t>
      </w:r>
    </w:p>
    <w:p>
      <w:r>
        <w:br w:type="page"/>
      </w:r>
    </w:p>
    <w:p>
      <w:pPr>
        <w:spacing w:before="240" w:after="160" w:line="276" w:lineRule="auto"/>
        <w:jc w:val="left"/>
      </w:pPr>
      <w:r>
        <w:rPr>
          <w:rFonts w:ascii="Times New Roman" w:hAnsi="Times New Roman"/>
          <w:b/>
          <w:color w:val="000000"/>
          <w:sz w:val="28"/>
        </w:rPr>
        <w:t>CHAPITRE 1 : PRÉSENTATION DE L'ENTREPRISE ET DÉROULEMENT DU STAGE</w:t>
      </w:r>
    </w:p>
    <w:p>
      <w:pPr>
        <w:spacing w:line="276" w:lineRule="auto" w:after="120"/>
        <w:ind w:firstLine="567"/>
        <w:jc w:val="both"/>
      </w:pPr>
      <w:r>
        <w:rPr>
          <w:rFonts w:ascii="Times New Roman" w:hAnsi="Times New Roman"/>
          <w:sz w:val="24"/>
        </w:rPr>
        <w:t>Ce premier chapitre présente le cadre général de notre stage. Dans une première section, nous présentons l'entreprise d'accueil, Afriland First Bank, dans son environnement interne et externe, ainsi que la Direction des Recherches et de l'Innovation qui nous a accueilli. Dans une seconde section, nous décrivons le déroulement de notre stage, les tâches effectuées et les compétences acquises, avant d'identifier le problème que nous avons été amené à traiter.</w:t>
      </w:r>
    </w:p>
    <w:p>
      <w:pPr>
        <w:spacing w:before="200" w:after="120" w:line="276" w:lineRule="auto"/>
        <w:jc w:val="left"/>
      </w:pPr>
      <w:r>
        <w:rPr>
          <w:rFonts w:ascii="Times New Roman" w:hAnsi="Times New Roman"/>
          <w:b/>
          <w:color w:val="000000"/>
          <w:sz w:val="26"/>
        </w:rPr>
        <w:t>Section 1 : Présentation d'Afriland First Bank</w:t>
      </w:r>
    </w:p>
    <w:p>
      <w:pPr>
        <w:spacing w:before="160" w:after="80"/>
        <w:jc w:val="left"/>
      </w:pPr>
      <w:r>
        <w:rPr>
          <w:rFonts w:ascii="Times New Roman" w:hAnsi="Times New Roman"/>
          <w:b/>
          <w:i/>
          <w:color w:val="000000"/>
          <w:sz w:val="24"/>
        </w:rPr>
        <w:t>1.1. Historique et évolution</w:t>
      </w:r>
    </w:p>
    <w:p>
      <w:pPr>
        <w:spacing w:line="276" w:lineRule="auto" w:after="120"/>
        <w:ind w:firstLine="567"/>
        <w:jc w:val="both"/>
      </w:pPr>
      <w:r>
        <w:rPr>
          <w:rFonts w:ascii="Times New Roman" w:hAnsi="Times New Roman"/>
          <w:sz w:val="24"/>
        </w:rPr>
        <w:t>Afriland First Bank est une banque commerciale camerounaise à capitaux majoritairement africains, reconnue pour son engagement en faveur du financement des économies locales et de l'entrepreneuriat africain. Elle est née de la volonté de promouvoir un modèle bancaire endogène, au service du développement du continent. Sa devise, « The pact with success », traduit sa vocation d'accompagnement de ses clients et partenaires vers la réussite.</w:t>
      </w:r>
    </w:p>
    <w:p>
      <w:pPr>
        <w:spacing w:line="276" w:lineRule="auto" w:after="120"/>
        <w:ind w:firstLine="567"/>
        <w:jc w:val="both"/>
      </w:pPr>
      <w:r>
        <w:rPr>
          <w:rFonts w:ascii="Times New Roman" w:hAnsi="Times New Roman"/>
          <w:sz w:val="24"/>
        </w:rPr>
        <w:t>Au fil des années, la banque a étendu son réseau d'agences sur le territoire national et s'est constituée en groupe présent dans plusieurs pays africains, à travers des filiales bancaires et financières. Elle occupe aujourd'hui une place de premier plan dans le paysage bancaire de la zone CEMAC.</w:t>
      </w:r>
    </w:p>
    <w:p>
      <w:pPr>
        <w:jc w:val="both"/>
      </w:pPr>
      <w:r>
        <w:rPr>
          <w:rFonts w:ascii="Times New Roman" w:hAnsi="Times New Roman"/>
          <w:i/>
          <w:color w:val="C8102E"/>
          <w:sz w:val="24"/>
        </w:rPr>
        <w:t>[ À vérifier et compléter avec des sources officielles (site institutionnel, rapport annuel de la banque) : année exacte de création et dénomination d'origine, nom du fondateur, principales étapes de l'évolution (dates clés), pays d'implantation du groupe, nombre d'agences. Rappel du guide ISJ : vérifiez la véracité de chaque affirmation et de chaque chiffre. ]</w:t>
      </w:r>
    </w:p>
    <w:p>
      <w:pPr>
        <w:spacing w:before="160" w:after="80"/>
        <w:jc w:val="left"/>
      </w:pPr>
      <w:r>
        <w:rPr>
          <w:rFonts w:ascii="Times New Roman" w:hAnsi="Times New Roman"/>
          <w:b/>
          <w:i/>
          <w:color w:val="000000"/>
          <w:sz w:val="24"/>
        </w:rPr>
        <w:t>1.2. Fiche signalétique</w:t>
      </w:r>
    </w:p>
    <w:tbl>
      <w:tblPr>
        <w:tblStyle w:val="TableGrid"/>
        <w:tblW w:type="auto" w:w="0"/>
        <w:tblLook w:firstColumn="1" w:firstRow="1" w:lastColumn="0" w:lastRow="0" w:noHBand="0" w:noVBand="1" w:val="04A0"/>
      </w:tblPr>
      <w:tblGrid>
        <w:gridCol w:w="4703"/>
        <w:gridCol w:w="4703"/>
      </w:tblGrid>
      <w:tr>
        <w:tc>
          <w:tcPr>
            <w:tcW w:type="dxa" w:w="4703"/>
          </w:tcPr>
          <w:p>
            <w:r>
              <w:rPr>
                <w:rFonts w:ascii="Times New Roman" w:hAnsi="Times New Roman"/>
                <w:b/>
                <w:sz w:val="22"/>
              </w:rPr>
              <w:t>Nom complet</w:t>
            </w:r>
          </w:p>
        </w:tc>
        <w:tc>
          <w:tcPr>
            <w:tcW w:type="dxa" w:w="4703"/>
          </w:tcPr>
          <w:p>
            <w:r>
              <w:rPr>
                <w:rFonts w:ascii="Times New Roman" w:hAnsi="Times New Roman"/>
                <w:sz w:val="22"/>
              </w:rPr>
              <w:t>Afriland First Bank</w:t>
            </w:r>
          </w:p>
        </w:tc>
      </w:tr>
      <w:tr>
        <w:tc>
          <w:tcPr>
            <w:tcW w:type="dxa" w:w="4703"/>
          </w:tcPr>
          <w:p>
            <w:r>
              <w:rPr>
                <w:rFonts w:ascii="Times New Roman" w:hAnsi="Times New Roman"/>
                <w:b/>
                <w:sz w:val="22"/>
              </w:rPr>
              <w:t>Sigle</w:t>
            </w:r>
          </w:p>
        </w:tc>
        <w:tc>
          <w:tcPr>
            <w:tcW w:type="dxa" w:w="4703"/>
          </w:tcPr>
          <w:p>
            <w:r>
              <w:rPr>
                <w:rFonts w:ascii="Times New Roman" w:hAnsi="Times New Roman"/>
                <w:sz w:val="22"/>
              </w:rPr>
              <w:t>AFB</w:t>
            </w:r>
          </w:p>
        </w:tc>
      </w:tr>
      <w:tr>
        <w:tc>
          <w:tcPr>
            <w:tcW w:type="dxa" w:w="4703"/>
          </w:tcPr>
          <w:p>
            <w:r>
              <w:rPr>
                <w:rFonts w:ascii="Times New Roman" w:hAnsi="Times New Roman"/>
                <w:b/>
                <w:sz w:val="22"/>
              </w:rPr>
              <w:t>Forme juridique</w:t>
            </w:r>
          </w:p>
        </w:tc>
        <w:tc>
          <w:tcPr>
            <w:tcW w:type="dxa" w:w="4703"/>
          </w:tcPr>
          <w:p>
            <w:r>
              <w:rPr>
                <w:rFonts w:ascii="Times New Roman" w:hAnsi="Times New Roman"/>
                <w:i/>
                <w:color w:val="C8102E"/>
                <w:sz w:val="22"/>
              </w:rPr>
              <w:t>Société Anonyme (SA) — [à vérifier]</w:t>
            </w:r>
          </w:p>
        </w:tc>
      </w:tr>
      <w:tr>
        <w:tc>
          <w:tcPr>
            <w:tcW w:type="dxa" w:w="4703"/>
          </w:tcPr>
          <w:p>
            <w:r>
              <w:rPr>
                <w:rFonts w:ascii="Times New Roman" w:hAnsi="Times New Roman"/>
                <w:b/>
                <w:sz w:val="22"/>
              </w:rPr>
              <w:t>Année de création</w:t>
            </w:r>
          </w:p>
        </w:tc>
        <w:tc>
          <w:tcPr>
            <w:tcW w:type="dxa" w:w="4703"/>
          </w:tcPr>
          <w:p>
            <w:r>
              <w:rPr>
                <w:rFonts w:ascii="Times New Roman" w:hAnsi="Times New Roman"/>
                <w:i/>
                <w:color w:val="C8102E"/>
                <w:sz w:val="22"/>
              </w:rPr>
              <w:t>[à compléter]</w:t>
            </w:r>
          </w:p>
        </w:tc>
      </w:tr>
      <w:tr>
        <w:tc>
          <w:tcPr>
            <w:tcW w:type="dxa" w:w="4703"/>
          </w:tcPr>
          <w:p>
            <w:r>
              <w:rPr>
                <w:rFonts w:ascii="Times New Roman" w:hAnsi="Times New Roman"/>
                <w:b/>
                <w:sz w:val="22"/>
              </w:rPr>
              <w:t>Siège social</w:t>
            </w:r>
          </w:p>
        </w:tc>
        <w:tc>
          <w:tcPr>
            <w:tcW w:type="dxa" w:w="4703"/>
          </w:tcPr>
          <w:p>
            <w:r>
              <w:rPr>
                <w:rFonts w:ascii="Times New Roman" w:hAnsi="Times New Roman"/>
                <w:i/>
                <w:color w:val="C8102E"/>
                <w:sz w:val="22"/>
              </w:rPr>
              <w:t>[adresse à compléter] — Cameroun</w:t>
            </w:r>
          </w:p>
        </w:tc>
      </w:tr>
      <w:tr>
        <w:tc>
          <w:tcPr>
            <w:tcW w:type="dxa" w:w="4703"/>
          </w:tcPr>
          <w:p>
            <w:r>
              <w:rPr>
                <w:rFonts w:ascii="Times New Roman" w:hAnsi="Times New Roman"/>
                <w:b/>
                <w:sz w:val="22"/>
              </w:rPr>
              <w:t>Boîte postale</w:t>
            </w:r>
          </w:p>
        </w:tc>
        <w:tc>
          <w:tcPr>
            <w:tcW w:type="dxa" w:w="4703"/>
          </w:tcPr>
          <w:p>
            <w:r>
              <w:rPr>
                <w:rFonts w:ascii="Times New Roman" w:hAnsi="Times New Roman"/>
                <w:i/>
                <w:color w:val="C8102E"/>
                <w:sz w:val="22"/>
              </w:rPr>
              <w:t>[à compléter]</w:t>
            </w:r>
          </w:p>
        </w:tc>
      </w:tr>
      <w:tr>
        <w:tc>
          <w:tcPr>
            <w:tcW w:type="dxa" w:w="4703"/>
          </w:tcPr>
          <w:p>
            <w:r>
              <w:rPr>
                <w:rFonts w:ascii="Times New Roman" w:hAnsi="Times New Roman"/>
                <w:b/>
                <w:sz w:val="22"/>
              </w:rPr>
              <w:t>Téléphone / Fax</w:t>
            </w:r>
          </w:p>
        </w:tc>
        <w:tc>
          <w:tcPr>
            <w:tcW w:type="dxa" w:w="4703"/>
          </w:tcPr>
          <w:p>
            <w:r>
              <w:rPr>
                <w:rFonts w:ascii="Times New Roman" w:hAnsi="Times New Roman"/>
                <w:i/>
                <w:color w:val="C8102E"/>
                <w:sz w:val="22"/>
              </w:rPr>
              <w:t>[à compléter]</w:t>
            </w:r>
          </w:p>
        </w:tc>
      </w:tr>
      <w:tr>
        <w:tc>
          <w:tcPr>
            <w:tcW w:type="dxa" w:w="4703"/>
          </w:tcPr>
          <w:p>
            <w:r>
              <w:rPr>
                <w:rFonts w:ascii="Times New Roman" w:hAnsi="Times New Roman"/>
                <w:b/>
                <w:sz w:val="22"/>
              </w:rPr>
              <w:t>Site internet / E-mail</w:t>
            </w:r>
          </w:p>
        </w:tc>
        <w:tc>
          <w:tcPr>
            <w:tcW w:type="dxa" w:w="4703"/>
          </w:tcPr>
          <w:p>
            <w:r>
              <w:rPr>
                <w:rFonts w:ascii="Times New Roman" w:hAnsi="Times New Roman"/>
                <w:i/>
                <w:color w:val="C8102E"/>
                <w:sz w:val="22"/>
              </w:rPr>
              <w:t>[à compléter]</w:t>
            </w:r>
          </w:p>
        </w:tc>
      </w:tr>
      <w:tr>
        <w:tc>
          <w:tcPr>
            <w:tcW w:type="dxa" w:w="4703"/>
          </w:tcPr>
          <w:p>
            <w:r>
              <w:rPr>
                <w:rFonts w:ascii="Times New Roman" w:hAnsi="Times New Roman"/>
                <w:b/>
                <w:sz w:val="22"/>
              </w:rPr>
              <w:t>Directeur Général</w:t>
            </w:r>
          </w:p>
        </w:tc>
        <w:tc>
          <w:tcPr>
            <w:tcW w:type="dxa" w:w="4703"/>
          </w:tcPr>
          <w:p>
            <w:r>
              <w:rPr>
                <w:rFonts w:ascii="Times New Roman" w:hAnsi="Times New Roman"/>
                <w:i/>
                <w:color w:val="C8102E"/>
                <w:sz w:val="22"/>
              </w:rPr>
              <w:t>[à compléter]</w:t>
            </w:r>
          </w:p>
        </w:tc>
      </w:tr>
      <w:tr>
        <w:tc>
          <w:tcPr>
            <w:tcW w:type="dxa" w:w="4703"/>
          </w:tcPr>
          <w:p>
            <w:r>
              <w:rPr>
                <w:rFonts w:ascii="Times New Roman" w:hAnsi="Times New Roman"/>
                <w:b/>
                <w:sz w:val="22"/>
              </w:rPr>
              <w:t>Capital social</w:t>
            </w:r>
          </w:p>
        </w:tc>
        <w:tc>
          <w:tcPr>
            <w:tcW w:type="dxa" w:w="4703"/>
          </w:tcPr>
          <w:p>
            <w:r>
              <w:rPr>
                <w:rFonts w:ascii="Times New Roman" w:hAnsi="Times New Roman"/>
                <w:i/>
                <w:color w:val="C8102E"/>
                <w:sz w:val="22"/>
              </w:rPr>
              <w:t>[à compléter]</w:t>
            </w:r>
          </w:p>
        </w:tc>
      </w:tr>
      <w:tr>
        <w:tc>
          <w:tcPr>
            <w:tcW w:type="dxa" w:w="4703"/>
          </w:tcPr>
          <w:p>
            <w:r>
              <w:rPr>
                <w:rFonts w:ascii="Times New Roman" w:hAnsi="Times New Roman"/>
                <w:b/>
                <w:sz w:val="22"/>
              </w:rPr>
              <w:t>Activité</w:t>
            </w:r>
          </w:p>
        </w:tc>
        <w:tc>
          <w:tcPr>
            <w:tcW w:type="dxa" w:w="4703"/>
          </w:tcPr>
          <w:p>
            <w:r>
              <w:rPr>
                <w:rFonts w:ascii="Times New Roman" w:hAnsi="Times New Roman"/>
                <w:sz w:val="22"/>
              </w:rPr>
              <w:t>Établissement de crédit — activités bancaires et financières</w:t>
            </w:r>
          </w:p>
        </w:tc>
      </w:tr>
      <w:tr>
        <w:tc>
          <w:tcPr>
            <w:tcW w:type="dxa" w:w="4703"/>
          </w:tcPr>
          <w:p>
            <w:r>
              <w:rPr>
                <w:rFonts w:ascii="Times New Roman" w:hAnsi="Times New Roman"/>
                <w:b/>
                <w:sz w:val="22"/>
              </w:rPr>
              <w:t>Numéro de contribuable / RC</w:t>
            </w:r>
          </w:p>
        </w:tc>
        <w:tc>
          <w:tcPr>
            <w:tcW w:type="dxa" w:w="4703"/>
          </w:tcPr>
          <w:p>
            <w:r>
              <w:rPr>
                <w:rFonts w:ascii="Times New Roman" w:hAnsi="Times New Roman"/>
                <w:i/>
                <w:color w:val="C8102E"/>
                <w:sz w:val="22"/>
              </w:rPr>
              <w:t>[à compléter]</w:t>
            </w:r>
          </w:p>
        </w:tc>
      </w:tr>
      <w:tr>
        <w:tc>
          <w:tcPr>
            <w:tcW w:type="dxa" w:w="4703"/>
          </w:tcPr>
          <w:p>
            <w:r>
              <w:rPr>
                <w:rFonts w:ascii="Times New Roman" w:hAnsi="Times New Roman"/>
                <w:b/>
                <w:sz w:val="22"/>
              </w:rPr>
              <w:t>Effectifs</w:t>
            </w:r>
          </w:p>
        </w:tc>
        <w:tc>
          <w:tcPr>
            <w:tcW w:type="dxa" w:w="4703"/>
          </w:tcPr>
          <w:p>
            <w:r>
              <w:rPr>
                <w:rFonts w:ascii="Times New Roman" w:hAnsi="Times New Roman"/>
                <w:i/>
                <w:color w:val="C8102E"/>
                <w:sz w:val="22"/>
              </w:rPr>
              <w:t>[à compléter]</w:t>
            </w:r>
          </w:p>
        </w:tc>
      </w:tr>
    </w:tbl>
    <w:p>
      <w:pPr>
        <w:spacing w:after="80"/>
        <w:jc w:val="center"/>
      </w:pPr>
      <w:r>
        <w:rPr>
          <w:rFonts w:ascii="Times New Roman" w:hAnsi="Times New Roman"/>
          <w:b w:val="0"/>
          <w:i/>
          <w:color w:val="000000"/>
          <w:sz w:val="20"/>
        </w:rPr>
        <w:t>Tableau 1 : Fiche signalétique d'Afriland First Bank</w:t>
      </w:r>
    </w:p>
    <w:p>
      <w:pPr>
        <w:spacing w:before="160" w:after="80"/>
        <w:jc w:val="left"/>
      </w:pPr>
      <w:r>
        <w:rPr>
          <w:rFonts w:ascii="Times New Roman" w:hAnsi="Times New Roman"/>
          <w:b/>
          <w:i/>
          <w:color w:val="000000"/>
          <w:sz w:val="24"/>
        </w:rPr>
        <w:t>1.3. Missions, valeurs et activités</w:t>
      </w:r>
    </w:p>
    <w:p>
      <w:pPr>
        <w:spacing w:line="276" w:lineRule="auto" w:after="120"/>
        <w:ind w:firstLine="567"/>
        <w:jc w:val="both"/>
      </w:pPr>
      <w:r>
        <w:rPr>
          <w:rFonts w:ascii="Times New Roman" w:hAnsi="Times New Roman"/>
          <w:sz w:val="24"/>
        </w:rPr>
        <w:t>Afriland First Bank a pour mission de fournir des services bancaires et financiers de qualité aux particuliers, aux entreprises et aux institutions, tout en contribuant au financement du développement économique. Ses activités couvrent notamment la collecte de l'épargne, l'octroi de crédits, les opérations de trade finance et de change, la banque à distance et la gestion des moyens de paiement.</w:t>
      </w:r>
    </w:p>
    <w:p>
      <w:pPr>
        <w:jc w:val="both"/>
      </w:pPr>
      <w:r>
        <w:rPr>
          <w:rFonts w:ascii="Times New Roman" w:hAnsi="Times New Roman"/>
          <w:i/>
          <w:color w:val="C8102E"/>
          <w:sz w:val="24"/>
        </w:rPr>
        <w:t>[ À compléter : listez les principaux produits et services de la banque (comptes, crédits, monétique, banque en ligne, etc.) et ses valeurs institutionnelles, à partir de la documentation officielle. ]</w:t>
      </w:r>
    </w:p>
    <w:p>
      <w:pPr>
        <w:spacing w:before="160" w:after="80"/>
        <w:jc w:val="left"/>
      </w:pPr>
      <w:r>
        <w:rPr>
          <w:rFonts w:ascii="Times New Roman" w:hAnsi="Times New Roman"/>
          <w:b/>
          <w:i/>
          <w:color w:val="000000"/>
          <w:sz w:val="24"/>
        </w:rPr>
        <w:t>1.4. Environnement de l'entreprise</w:t>
      </w:r>
    </w:p>
    <w:p>
      <w:pPr>
        <w:spacing w:line="276" w:lineRule="auto" w:after="120"/>
        <w:ind w:firstLine="567"/>
        <w:jc w:val="both"/>
      </w:pPr>
      <w:r>
        <w:rPr>
          <w:rFonts w:ascii="Times New Roman" w:hAnsi="Times New Roman"/>
          <w:sz w:val="24"/>
        </w:rPr>
        <w:t>L'environnement interne de la banque est structuré autour de plusieurs directions, parmi lesquelles la Direction de la Conformité (DCONF), chargée du dispositif de lutte contre le blanchiment de capitaux et le financement du terrorisme, la Direction des Systèmes d'Information (DSI), en charge du système d'information, et la Direction des Recherches et de l'Innovation (DRI), au sein de laquelle nous avons effectué notre stage.</w:t>
      </w:r>
    </w:p>
    <w:p>
      <w:pPr>
        <w:spacing w:line="276" w:lineRule="auto" w:after="120"/>
        <w:ind w:firstLine="567"/>
        <w:jc w:val="both"/>
      </w:pPr>
      <w:r>
        <w:rPr>
          <w:rFonts w:ascii="Times New Roman" w:hAnsi="Times New Roman"/>
          <w:sz w:val="24"/>
        </w:rPr>
        <w:t>Sur le plan externe, la banque évolue dans un environnement concurrentiel composé des autres établissements de crédit de la place, et sous la supervision d'autorités de régulation : la Commission Bancaire de l'Afrique Centrale (COBAC) et l'Agence Nationale d'Investigation Financière (ANIF). Elle entretient par ailleurs des relations avec des correspondants bancaires internationaux, dont les exigences de conformité constituent un enjeu majeur.</w:t>
      </w:r>
    </w:p>
    <w:p>
      <w:pPr>
        <w:jc w:val="both"/>
      </w:pPr>
      <w:r>
        <w:rPr>
          <w:rFonts w:ascii="Times New Roman" w:hAnsi="Times New Roman"/>
          <w:i/>
          <w:color w:val="C8102E"/>
          <w:sz w:val="24"/>
        </w:rPr>
        <w:t>[ À compléter : citez, si possible, les principaux concurrents et partenaires, et insérez l'organigramme de la banque (Figure 1) ainsi que celui de la DRI (Figure 2). ]</w:t>
      </w:r>
    </w:p>
    <w:p>
      <w:pPr>
        <w:spacing w:before="160" w:after="80"/>
        <w:jc w:val="left"/>
      </w:pPr>
      <w:r>
        <w:rPr>
          <w:rFonts w:ascii="Times New Roman" w:hAnsi="Times New Roman"/>
          <w:b/>
          <w:i/>
          <w:color w:val="000000"/>
          <w:sz w:val="24"/>
        </w:rPr>
        <w:t>1.5. Présentation de la Direction des Recherches et de l'Innovation (DRI)</w:t>
      </w:r>
    </w:p>
    <w:p>
      <w:pPr>
        <w:spacing w:line="276" w:lineRule="auto" w:after="120"/>
        <w:ind w:firstLine="567"/>
        <w:jc w:val="both"/>
      </w:pPr>
      <w:r>
        <w:rPr>
          <w:rFonts w:ascii="Times New Roman" w:hAnsi="Times New Roman"/>
          <w:sz w:val="24"/>
        </w:rPr>
        <w:t>La Direction des Recherches et de l'Innovation (DRI) a pour mission de concevoir et de mettre en œuvre des solutions numériques innovantes au service des métiers de la banque. Elle s'appuie notamment sur la suite Microsoft Power Platform (Power Pages, Dataverse, Power Apps et Power Automate) pour développer rapidement des applications métier. C'est dans ce cadre qu'elle a conduit, en réponse au besoin exprimé par la Direction de la Conformité, le projet de portail KYP/KYS auquel nous avons contribué.</w:t>
      </w:r>
    </w:p>
    <w:p>
      <w:pPr>
        <w:jc w:val="both"/>
      </w:pPr>
      <w:r>
        <w:rPr>
          <w:rFonts w:ascii="Times New Roman" w:hAnsi="Times New Roman"/>
          <w:i/>
          <w:color w:val="C8102E"/>
          <w:sz w:val="24"/>
        </w:rPr>
        <w:t>[ À compléter : positionnement précis de la DRI dans l'organigramme, ses missions détaillées, son effectif, son mode de fonctionnement (équipes projet) et ses relations avec la DCONF et la DSI. ]</w:t>
      </w:r>
    </w:p>
    <w:p>
      <w:pPr>
        <w:spacing w:before="200" w:after="120" w:line="276" w:lineRule="auto"/>
        <w:jc w:val="left"/>
      </w:pPr>
      <w:r>
        <w:rPr>
          <w:rFonts w:ascii="Times New Roman" w:hAnsi="Times New Roman"/>
          <w:b/>
          <w:color w:val="000000"/>
          <w:sz w:val="26"/>
        </w:rPr>
        <w:t>Section 2 : Déroulement du stage</w:t>
      </w:r>
    </w:p>
    <w:p>
      <w:pPr>
        <w:spacing w:before="160" w:after="80"/>
        <w:jc w:val="left"/>
      </w:pPr>
      <w:r>
        <w:rPr>
          <w:rFonts w:ascii="Times New Roman" w:hAnsi="Times New Roman"/>
          <w:b/>
          <w:i/>
          <w:color w:val="000000"/>
          <w:sz w:val="24"/>
        </w:rPr>
        <w:t>2.1. Accueil et intégration</w:t>
      </w:r>
    </w:p>
    <w:p>
      <w:pPr>
        <w:spacing w:line="276" w:lineRule="auto" w:after="120"/>
        <w:ind w:firstLine="567"/>
        <w:jc w:val="both"/>
      </w:pPr>
      <w:r>
        <w:rPr>
          <w:rFonts w:ascii="Times New Roman" w:hAnsi="Times New Roman"/>
          <w:sz w:val="24"/>
        </w:rPr>
        <w:t>Notre stage s'est déroulé du 04 mai au 03 août 2026, soit une durée de trois mois. Les premiers jours ont été consacrés à notre intégration au sein de la DRI, à la découverte de l'environnement de travail et à la prise de connaissance du contexte réglementaire (Règlement COBAC R-2023/01) ainsi que du besoin métier porté par la Direction de la Conformité.</w:t>
      </w:r>
    </w:p>
    <w:p>
      <w:pPr>
        <w:spacing w:before="160" w:after="80"/>
        <w:jc w:val="left"/>
      </w:pPr>
      <w:r>
        <w:rPr>
          <w:rFonts w:ascii="Times New Roman" w:hAnsi="Times New Roman"/>
          <w:b/>
          <w:i/>
          <w:color w:val="000000"/>
          <w:sz w:val="24"/>
        </w:rPr>
        <w:t>2.2. Environnement de travail et outils</w:t>
      </w:r>
    </w:p>
    <w:p>
      <w:pPr>
        <w:spacing w:line="276" w:lineRule="auto" w:after="120"/>
        <w:ind w:firstLine="567"/>
        <w:jc w:val="both"/>
      </w:pPr>
      <w:r>
        <w:rPr>
          <w:rFonts w:ascii="Times New Roman" w:hAnsi="Times New Roman"/>
          <w:sz w:val="24"/>
        </w:rPr>
        <w:t>Nous avons évolué dans un environnement de développement fondé sur la suite Microsoft Power Platform. Le portail destiné aux tiers a été développé avec Power Pages, en s'appuyant sur la bibliothèque React et le langage TypeScript ; l'application interne des chargés de conformité a été réalisée avec Power Apps ; la base de données a été modélisée dans Dataverse ; et les traitements automatisés ont été mis en place avec Power Automate. La gestion des versions du code a été assurée à l'aide de l'outil Git.</w:t>
      </w:r>
    </w:p>
    <w:p>
      <w:pPr>
        <w:spacing w:before="160" w:after="80"/>
        <w:jc w:val="left"/>
      </w:pPr>
      <w:r>
        <w:rPr>
          <w:rFonts w:ascii="Times New Roman" w:hAnsi="Times New Roman"/>
          <w:b/>
          <w:i/>
          <w:color w:val="000000"/>
          <w:sz w:val="24"/>
        </w:rPr>
        <w:t>2.3. Tâches effectuées</w:t>
      </w:r>
    </w:p>
    <w:p>
      <w:pPr>
        <w:spacing w:line="276" w:lineRule="auto" w:after="120"/>
        <w:ind w:firstLine="567"/>
        <w:jc w:val="both"/>
      </w:pPr>
      <w:r>
        <w:rPr>
          <w:rFonts w:ascii="Times New Roman" w:hAnsi="Times New Roman"/>
          <w:sz w:val="24"/>
        </w:rPr>
        <w:t>Durant ce stage, nous avons participé à la conception et à la réalisation du portail KYP/KYS. Nos principales tâches ont été les suivantes :</w:t>
      </w:r>
    </w:p>
    <w:p>
      <w:pPr>
        <w:pStyle w:val="ListBullet"/>
        <w:spacing w:line="276" w:lineRule="auto"/>
      </w:pPr>
      <w:r>
        <w:rPr>
          <w:rFonts w:ascii="Times New Roman" w:hAnsi="Times New Roman"/>
          <w:sz w:val="24"/>
        </w:rPr>
        <w:t>l'analyse du besoin et l'étude du cahier des charges ;</w:t>
      </w:r>
    </w:p>
    <w:p>
      <w:pPr>
        <w:pStyle w:val="ListBullet"/>
        <w:spacing w:line="276" w:lineRule="auto"/>
      </w:pPr>
      <w:r>
        <w:rPr>
          <w:rFonts w:ascii="Times New Roman" w:hAnsi="Times New Roman"/>
          <w:sz w:val="24"/>
        </w:rPr>
        <w:t>la modélisation des données et des traitements à l'aide du langage UML ;</w:t>
      </w:r>
    </w:p>
    <w:p>
      <w:pPr>
        <w:pStyle w:val="ListBullet"/>
        <w:spacing w:line="276" w:lineRule="auto"/>
      </w:pPr>
      <w:r>
        <w:rPr>
          <w:rFonts w:ascii="Times New Roman" w:hAnsi="Times New Roman"/>
          <w:sz w:val="24"/>
        </w:rPr>
        <w:t>le développement du portail externe destiné aux tiers (Power Pages) ;</w:t>
      </w:r>
    </w:p>
    <w:p>
      <w:pPr>
        <w:pStyle w:val="ListBullet"/>
        <w:spacing w:line="276" w:lineRule="auto"/>
      </w:pPr>
      <w:r>
        <w:rPr>
          <w:rFonts w:ascii="Times New Roman" w:hAnsi="Times New Roman"/>
          <w:sz w:val="24"/>
        </w:rPr>
        <w:t>le développement de l'application back-office destinée aux chargés de conformité (Power Apps) ;</w:t>
      </w:r>
    </w:p>
    <w:p>
      <w:pPr>
        <w:pStyle w:val="ListBullet"/>
        <w:spacing w:line="276" w:lineRule="auto"/>
      </w:pPr>
      <w:r>
        <w:rPr>
          <w:rFonts w:ascii="Times New Roman" w:hAnsi="Times New Roman"/>
          <w:sz w:val="24"/>
        </w:rPr>
        <w:t>la mise en place des automatisations (Power Automate) : invitations, relances, notifications ;</w:t>
      </w:r>
    </w:p>
    <w:p>
      <w:pPr>
        <w:pStyle w:val="ListBullet"/>
        <w:spacing w:line="276" w:lineRule="auto"/>
      </w:pPr>
      <w:r>
        <w:rPr>
          <w:rFonts w:ascii="Times New Roman" w:hAnsi="Times New Roman"/>
          <w:sz w:val="24"/>
        </w:rPr>
        <w:t>les tests et la recette fonctionnelle de la solution.</w:t>
      </w:r>
    </w:p>
    <w:p>
      <w:pPr>
        <w:spacing w:before="160" w:after="80"/>
        <w:jc w:val="left"/>
      </w:pPr>
      <w:r>
        <w:rPr>
          <w:rFonts w:ascii="Times New Roman" w:hAnsi="Times New Roman"/>
          <w:b/>
          <w:i/>
          <w:color w:val="000000"/>
          <w:sz w:val="24"/>
        </w:rPr>
        <w:t>2.4. Compétences acquises et difficultés rencontrées</w:t>
      </w:r>
    </w:p>
    <w:p>
      <w:pPr>
        <w:spacing w:line="276" w:lineRule="auto" w:after="120"/>
        <w:ind w:firstLine="567"/>
        <w:jc w:val="both"/>
      </w:pPr>
      <w:r>
        <w:rPr>
          <w:rFonts w:ascii="Times New Roman" w:hAnsi="Times New Roman"/>
          <w:sz w:val="24"/>
        </w:rPr>
        <w:t>Ce stage nous a permis d'acquérir des compétences techniques sur la suite Power Platform et le développement d'applications web, ainsi que des compétences métier relatives à la conformité bancaire et à la réglementation LBC-FT. Nous avons également développé des compétences transversales : travail en équipe projet, communication avec les utilisateurs métier et gestion du temps.</w:t>
      </w:r>
    </w:p>
    <w:p>
      <w:pPr>
        <w:jc w:val="both"/>
      </w:pPr>
      <w:r>
        <w:rPr>
          <w:rFonts w:ascii="Times New Roman" w:hAnsi="Times New Roman"/>
          <w:i/>
          <w:color w:val="C8102E"/>
          <w:sz w:val="24"/>
        </w:rPr>
        <w:t>[ À compléter : citez concrètement 1 à 2 difficultés réelles rencontrées (par exemple une contrainte technique de Power Pages, la communication portail–back-office) et la manière dont vous les avez surmontées. ]</w:t>
      </w:r>
    </w:p>
    <w:p>
      <w:pPr>
        <w:spacing w:before="160" w:after="80"/>
        <w:jc w:val="left"/>
      </w:pPr>
      <w:r>
        <w:rPr>
          <w:rFonts w:ascii="Times New Roman" w:hAnsi="Times New Roman"/>
          <w:b/>
          <w:i/>
          <w:color w:val="000000"/>
          <w:sz w:val="24"/>
        </w:rPr>
        <w:t>2.5. Identification du problème observé</w:t>
      </w:r>
    </w:p>
    <w:p>
      <w:pPr>
        <w:spacing w:line="276" w:lineRule="auto" w:after="120"/>
        <w:ind w:firstLine="567"/>
        <w:jc w:val="both"/>
      </w:pPr>
      <w:r>
        <w:rPr>
          <w:rFonts w:ascii="Times New Roman" w:hAnsi="Times New Roman"/>
          <w:sz w:val="24"/>
        </w:rPr>
        <w:t>Au cours de cette immersion, nous avons pu observer que le processus de connaissance des partenaires et fournisseurs reposait sur des tâches manuelles, sans référentiel unique ni traçabilité opposable. Ce constat, présenté en détail dans le chapitre suivant, constitue le problème central auquel notre travail apporte une réponse.</w:t>
      </w:r>
    </w:p>
    <w:p>
      <w:pPr>
        <w:spacing w:before="160" w:after="80"/>
        <w:jc w:val="left"/>
      </w:pPr>
      <w:r>
        <w:rPr>
          <w:rFonts w:ascii="Times New Roman" w:hAnsi="Times New Roman"/>
          <w:b/>
          <w:i/>
          <w:color w:val="000000"/>
          <w:sz w:val="24"/>
        </w:rPr>
        <w:t>2.6. Journal de stage (extrait)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Date / Semaine</w:t>
            </w:r>
          </w:p>
        </w:tc>
        <w:tc>
          <w:tcPr>
            <w:tcW w:type="dxa" w:w="1881"/>
          </w:tcPr>
          <w:p>
            <w:r>
              <w:rPr>
                <w:rFonts w:ascii="Times New Roman" w:hAnsi="Times New Roman"/>
                <w:b/>
                <w:sz w:val="20"/>
              </w:rPr>
              <w:t>Lieu</w:t>
            </w:r>
          </w:p>
        </w:tc>
        <w:tc>
          <w:tcPr>
            <w:tcW w:type="dxa" w:w="1881"/>
          </w:tcPr>
          <w:p>
            <w:r>
              <w:rPr>
                <w:rFonts w:ascii="Times New Roman" w:hAnsi="Times New Roman"/>
                <w:b/>
                <w:sz w:val="20"/>
              </w:rPr>
              <w:t>Tâche effectuée</w:t>
            </w:r>
          </w:p>
        </w:tc>
        <w:tc>
          <w:tcPr>
            <w:tcW w:type="dxa" w:w="1881"/>
          </w:tcPr>
          <w:p>
            <w:r>
              <w:rPr>
                <w:rFonts w:ascii="Times New Roman" w:hAnsi="Times New Roman"/>
                <w:b/>
                <w:sz w:val="20"/>
              </w:rPr>
              <w:t>Outils utilisés</w:t>
            </w:r>
          </w:p>
        </w:tc>
        <w:tc>
          <w:tcPr>
            <w:tcW w:type="dxa" w:w="1881"/>
          </w:tcPr>
          <w:p>
            <w:r>
              <w:rPr>
                <w:rFonts w:ascii="Times New Roman" w:hAnsi="Times New Roman"/>
                <w:b/>
                <w:sz w:val="20"/>
              </w:rPr>
              <w:t>Encadrement</w:t>
            </w: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bl>
    <w:p>
      <w:pPr>
        <w:spacing w:after="80"/>
        <w:jc w:val="center"/>
      </w:pPr>
      <w:r>
        <w:rPr>
          <w:rFonts w:ascii="Times New Roman" w:hAnsi="Times New Roman"/>
          <w:b w:val="0"/>
          <w:i/>
          <w:color w:val="000000"/>
          <w:sz w:val="20"/>
        </w:rPr>
        <w:t>Tableau 2 : Extrait du journal de stage (à compléter)</w:t>
      </w:r>
    </w:p>
    <w:p>
      <w:pPr>
        <w:jc w:val="both"/>
      </w:pPr>
      <w:r>
        <w:rPr>
          <w:rFonts w:ascii="Times New Roman" w:hAnsi="Times New Roman"/>
          <w:i/>
          <w:color w:val="C8102E"/>
          <w:sz w:val="24"/>
        </w:rPr>
        <w:t>[ Complétez ce tableau à partir de votre cahier journalier de stage (une ligne par semaine). ]</w:t>
      </w:r>
    </w:p>
    <w:p>
      <w:pPr>
        <w:spacing w:line="276" w:lineRule="auto" w:after="120"/>
        <w:ind w:firstLine="567"/>
        <w:jc w:val="both"/>
      </w:pPr>
      <w:r>
        <w:rPr>
          <w:rFonts w:ascii="Times New Roman" w:hAnsi="Times New Roman"/>
          <w:sz w:val="24"/>
        </w:rPr>
        <w:t>En somme, ce premier chapitre a permis de situer le cadre de notre stage. Le chapitre suivant identifie précisément le problème que nous avons été amené à résoudre.</w:t>
      </w:r>
    </w:p>
    <w:p>
      <w:r>
        <w:br w:type="page"/>
      </w:r>
    </w:p>
    <w:p>
      <w:pPr>
        <w:spacing w:before="240" w:after="160" w:line="276" w:lineRule="auto"/>
        <w:jc w:val="left"/>
      </w:pPr>
      <w:r>
        <w:rPr>
          <w:rFonts w:ascii="Times New Roman" w:hAnsi="Times New Roman"/>
          <w:b/>
          <w:color w:val="000000"/>
          <w:sz w:val="28"/>
        </w:rPr>
        <w:t>CHAPITRE 2 : IDENTIFICATION DU PROBLÈME</w:t>
      </w:r>
    </w:p>
    <w:p>
      <w:pPr>
        <w:spacing w:line="276" w:lineRule="auto" w:after="120"/>
        <w:ind w:firstLine="567"/>
        <w:jc w:val="both"/>
      </w:pPr>
      <w:r>
        <w:rPr>
          <w:rFonts w:ascii="Times New Roman" w:hAnsi="Times New Roman"/>
          <w:sz w:val="24"/>
        </w:rPr>
        <w:t>Ce chapitre identifie le problème traité durant notre stage. Une première section décrit la situation existante et ses conséquences ; une seconde section examine les solutions existantes et met en évidence leurs limites au regard du besoin spécifique d'Afriland First Bank.</w:t>
      </w:r>
    </w:p>
    <w:p>
      <w:pPr>
        <w:spacing w:before="200" w:after="120" w:line="276" w:lineRule="auto"/>
        <w:jc w:val="left"/>
      </w:pPr>
      <w:r>
        <w:rPr>
          <w:rFonts w:ascii="Times New Roman" w:hAnsi="Times New Roman"/>
          <w:b/>
          <w:color w:val="000000"/>
          <w:sz w:val="26"/>
        </w:rPr>
        <w:t>Section 1 : Le problème et son impact</w:t>
      </w:r>
    </w:p>
    <w:p>
      <w:pPr>
        <w:spacing w:before="160" w:after="80"/>
        <w:jc w:val="left"/>
      </w:pPr>
      <w:r>
        <w:rPr>
          <w:rFonts w:ascii="Times New Roman" w:hAnsi="Times New Roman"/>
          <w:b/>
          <w:i/>
          <w:color w:val="000000"/>
          <w:sz w:val="24"/>
        </w:rPr>
        <w:t>1.1. La situation existante (AS-IS)</w:t>
      </w:r>
    </w:p>
    <w:p>
      <w:pPr>
        <w:spacing w:line="276" w:lineRule="auto" w:after="120"/>
        <w:ind w:firstLine="567"/>
        <w:jc w:val="both"/>
      </w:pPr>
      <w:r>
        <w:rPr>
          <w:rFonts w:ascii="Times New Roman" w:hAnsi="Times New Roman"/>
          <w:sz w:val="24"/>
        </w:rPr>
        <w:t>Avant notre intervention, la connaissance des partenaires et fournisseurs reposait sur un processus manuel en six étapes : identification isolée par chaque direction, sollicitation documentaire par courriel, réception et stockage dispersés, analyse et validation informelles, mise à jour par relances annuelles manuelles, et archivage sans historisation centralisée. Ce processus ne disposait ni d'un référentiel unique, ni d'une traçabilité opposable.</w:t>
      </w:r>
    </w:p>
    <w:p>
      <w:pPr>
        <w:spacing w:before="160" w:after="80"/>
        <w:jc w:val="left"/>
      </w:pPr>
      <w:r>
        <w:rPr>
          <w:rFonts w:ascii="Times New Roman" w:hAnsi="Times New Roman"/>
          <w:b/>
          <w:i/>
          <w:color w:val="000000"/>
          <w:sz w:val="24"/>
        </w:rPr>
        <w:t>1.2. Impact du problème sur l'entreprise</w:t>
      </w:r>
    </w:p>
    <w:p>
      <w:pPr>
        <w:spacing w:line="276" w:lineRule="auto" w:after="120"/>
        <w:ind w:firstLine="567"/>
        <w:jc w:val="both"/>
      </w:pPr>
      <w:r>
        <w:rPr>
          <w:rFonts w:ascii="Times New Roman" w:hAnsi="Times New Roman"/>
          <w:sz w:val="24"/>
        </w:rPr>
        <w:t>Cette organisation exposait la banque à plusieurs risques. Sur le plan réglementaire, l'absence de dossiers complets et de screening tracé plaçait la banque en situation de non-conformité au Règlement COBAC R-2023/01, avec un risque de sanctions pécuniaires, de suspension d'activité, voire de retrait d'agrément. Sur le plan opérationnel, la collecte et les relances manuelles mobilisaient fortement les équipes de conformité. Sur le plan de la relation internationale, un défaut de conformité pouvait entraîner un phénomène de de-risking de la part des correspondants bancaires en devises.</w:t>
      </w:r>
    </w:p>
    <w:p>
      <w:pPr>
        <w:jc w:val="both"/>
      </w:pPr>
      <w:r>
        <w:rPr>
          <w:rFonts w:ascii="Times New Roman" w:hAnsi="Times New Roman"/>
          <w:i/>
          <w:color w:val="C8102E"/>
          <w:sz w:val="24"/>
        </w:rPr>
        <w:t>[ Appuyez cet impact avec les constats chiffrés du cahier des charges (ex. : part des dossiers sans suivi opposable, nombre d'acteurs internes concernés) en citant la source. ]</w:t>
      </w:r>
    </w:p>
    <w:p>
      <w:pPr>
        <w:spacing w:before="200" w:after="120" w:line="276" w:lineRule="auto"/>
        <w:jc w:val="left"/>
      </w:pPr>
      <w:r>
        <w:rPr>
          <w:rFonts w:ascii="Times New Roman" w:hAnsi="Times New Roman"/>
          <w:b/>
          <w:color w:val="000000"/>
          <w:sz w:val="26"/>
        </w:rPr>
        <w:t>Section 2 : Solutions existantes et limites</w:t>
      </w:r>
    </w:p>
    <w:p>
      <w:pPr>
        <w:spacing w:before="160" w:after="80"/>
        <w:jc w:val="left"/>
      </w:pPr>
      <w:r>
        <w:rPr>
          <w:rFonts w:ascii="Times New Roman" w:hAnsi="Times New Roman"/>
          <w:b/>
          <w:i/>
          <w:color w:val="000000"/>
          <w:sz w:val="24"/>
        </w:rPr>
        <w:t>2.1. Les solutions existantes</w:t>
      </w:r>
    </w:p>
    <w:p>
      <w:pPr>
        <w:spacing w:line="276" w:lineRule="auto" w:after="120"/>
        <w:ind w:firstLine="567"/>
        <w:jc w:val="both"/>
      </w:pPr>
      <w:r>
        <w:rPr>
          <w:rFonts w:ascii="Times New Roman" w:hAnsi="Times New Roman"/>
          <w:sz w:val="24"/>
        </w:rPr>
        <w:t>Plusieurs approches existent pour outiller la connaissance des tiers : l'usage de fichiers bureautiques partagés, les progiciels de conformité du marché, et les portails développés sur mesure. Chacune présente des avantages, mais aussi des limites au regard du besoin spécifique de la banque.</w:t>
      </w:r>
    </w:p>
    <w:p>
      <w:pPr>
        <w:jc w:val="both"/>
      </w:pPr>
      <w:r>
        <w:rPr>
          <w:rFonts w:ascii="Times New Roman" w:hAnsi="Times New Roman"/>
          <w:i/>
          <w:color w:val="C8102E"/>
          <w:sz w:val="24"/>
        </w:rPr>
        <w:t>[ Présentez 2 à 3 solutions concrètes (par exemple : suivi par tableurs Excel, solutions KYC/AML du marché, portail spécifique) et comparez-les dans un tableau comparatif (Tableau 3). ]</w:t>
      </w:r>
    </w:p>
    <w:p>
      <w:pPr>
        <w:spacing w:before="160" w:after="80"/>
        <w:jc w:val="left"/>
      </w:pPr>
      <w:r>
        <w:rPr>
          <w:rFonts w:ascii="Times New Roman" w:hAnsi="Times New Roman"/>
          <w:b/>
          <w:i/>
          <w:color w:val="000000"/>
          <w:sz w:val="24"/>
        </w:rPr>
        <w:t>2.2. Limites au regard du besoin d'Afriland First Bank</w:t>
      </w:r>
    </w:p>
    <w:p>
      <w:pPr>
        <w:spacing w:line="276" w:lineRule="auto" w:after="120"/>
        <w:ind w:firstLine="567"/>
        <w:jc w:val="both"/>
      </w:pPr>
      <w:r>
        <w:rPr>
          <w:rFonts w:ascii="Times New Roman" w:hAnsi="Times New Roman"/>
          <w:sz w:val="24"/>
        </w:rPr>
        <w:t>Les tableurs bureautiques n'offrent ni traçabilité opposable, ni contrôle d'accès, ni automatisation des relances. Les progiciels du marché, souvent coûteux et peu adaptés au contexte CEMAC, s'intègrent difficilement à l'environnement Microsoft 365 déjà en place à la banque. C'est cette insuffisance qui justifie le développement d'une solution spécifique, cohérente avec le système d'information existant : le portail KYP/KYS, objet du chapitre suivant.</w:t>
      </w:r>
    </w:p>
    <w:p>
      <w:r>
        <w:br w:type="page"/>
      </w:r>
    </w:p>
    <w:p>
      <w:pPr>
        <w:spacing w:before="240" w:after="160" w:line="276" w:lineRule="auto"/>
        <w:jc w:val="left"/>
      </w:pPr>
      <w:r>
        <w:rPr>
          <w:rFonts w:ascii="Times New Roman" w:hAnsi="Times New Roman"/>
          <w:b/>
          <w:color w:val="000000"/>
          <w:sz w:val="28"/>
        </w:rPr>
        <w:t>CHAPITRE 3 : SOLUTION PROPOSÉE</w:t>
      </w:r>
    </w:p>
    <w:p>
      <w:pPr>
        <w:spacing w:line="276" w:lineRule="auto" w:after="120"/>
        <w:ind w:firstLine="567"/>
        <w:jc w:val="both"/>
      </w:pPr>
      <w:r>
        <w:rPr>
          <w:rFonts w:ascii="Times New Roman" w:hAnsi="Times New Roman"/>
          <w:sz w:val="24"/>
        </w:rPr>
        <w:t>Ce chapitre présente la solution que nous avons conçue et réalisée. Une première section expose la démarche et le langage de modélisation retenus ainsi que l'architecture de la solution ; une seconde section décrit sa réalisation et ses principales fonctionnalités.</w:t>
      </w:r>
    </w:p>
    <w:p>
      <w:pPr>
        <w:spacing w:before="200" w:after="120" w:line="276" w:lineRule="auto"/>
        <w:jc w:val="left"/>
      </w:pPr>
      <w:r>
        <w:rPr>
          <w:rFonts w:ascii="Times New Roman" w:hAnsi="Times New Roman"/>
          <w:b/>
          <w:color w:val="000000"/>
          <w:sz w:val="26"/>
        </w:rPr>
        <w:t>Section 1 : Démarche de modélisation et architecture</w:t>
      </w:r>
    </w:p>
    <w:p>
      <w:pPr>
        <w:spacing w:before="160" w:after="80"/>
        <w:jc w:val="left"/>
      </w:pPr>
      <w:r>
        <w:rPr>
          <w:rFonts w:ascii="Times New Roman" w:hAnsi="Times New Roman"/>
          <w:b/>
          <w:i/>
          <w:color w:val="000000"/>
          <w:sz w:val="24"/>
        </w:rPr>
        <w:t>1.1. Démarche et langage de modélisation</w:t>
      </w:r>
    </w:p>
    <w:p>
      <w:pPr>
        <w:spacing w:line="276" w:lineRule="auto" w:after="120"/>
        <w:ind w:firstLine="567"/>
        <w:jc w:val="both"/>
      </w:pPr>
      <w:r>
        <w:rPr>
          <w:rFonts w:ascii="Times New Roman" w:hAnsi="Times New Roman"/>
          <w:sz w:val="24"/>
        </w:rPr>
        <w:t>Pour concevoir la solution, nous avons adopté une démarche incrémentale et itérative, adaptée au développement sur une plateforme low-code. Le langage de modélisation retenu est le langage de modélisation unifié (UML, Unified Modeling Language), qui nous a permis de représenter les besoins et l'architecture au moyen de plusieurs diagrammes : un diagramme de cas d'utilisation (acteurs et fonctionnalités), un diagramme de classes (modèle de données), et des diagrammes de séquence (scénarios d'entrée en relation et de validation).</w:t>
      </w:r>
    </w:p>
    <w:p>
      <w:pPr>
        <w:jc w:val="both"/>
      </w:pPr>
      <w:r>
        <w:rPr>
          <w:rFonts w:ascii="Times New Roman" w:hAnsi="Times New Roman"/>
          <w:i/>
          <w:color w:val="C8102E"/>
          <w:sz w:val="24"/>
        </w:rPr>
        <w:t>[ Insérez ici vos diagrammes UML (Figures 2, 3, 4…) : cas d'utilisation, diagramme de classes correspondant au modèle Dataverse, diagrammes de séquence. Chaque figure porte un titre en dessous. Décrivez chaque diagramme dans le texte. ]</w:t>
      </w:r>
    </w:p>
    <w:p>
      <w:pPr>
        <w:spacing w:before="160" w:after="80"/>
        <w:jc w:val="left"/>
      </w:pPr>
      <w:r>
        <w:rPr>
          <w:rFonts w:ascii="Times New Roman" w:hAnsi="Times New Roman"/>
          <w:b/>
          <w:i/>
          <w:color w:val="000000"/>
          <w:sz w:val="24"/>
        </w:rPr>
        <w:t>1.2. Architecture technique de la solution</w:t>
      </w:r>
    </w:p>
    <w:p>
      <w:pPr>
        <w:spacing w:line="276" w:lineRule="auto" w:after="120"/>
        <w:ind w:firstLine="567"/>
        <w:jc w:val="both"/>
      </w:pPr>
      <w:r>
        <w:rPr>
          <w:rFonts w:ascii="Times New Roman" w:hAnsi="Times New Roman"/>
          <w:sz w:val="24"/>
        </w:rPr>
        <w:t>La solution est construite sur la suite Microsoft Power Platform, cohérente avec l'environnement Microsoft 365 de la banque. Elle s'organise en couches : un portail externe développé avec Power Pages (technologie React) expose une interface sécurisée aux tiers ; une base de données Dataverse constitue le référentiel unique ; une application back-office Power Apps est destinée aux chargés de conformité ; et des flux Power Automate orchestrent les traitements automatisés. Les pièces sont archivées dans SharePoint Online avec une conservation de dix ans.</w:t>
      </w:r>
    </w:p>
    <w:p>
      <w:pPr>
        <w:jc w:val="both"/>
      </w:pPr>
      <w:r>
        <w:rPr>
          <w:rFonts w:ascii="Times New Roman" w:hAnsi="Times New Roman"/>
          <w:i/>
          <w:color w:val="C8102E"/>
          <w:sz w:val="24"/>
        </w:rPr>
        <w:t>[ Insérez le schéma d'architecture technique en couches (Figure 5) et décrivez le rôle de chaque composant (Power Pages, Dataverse, Power Apps, Power Automate, SharePoint, service de screening). ]</w:t>
      </w:r>
    </w:p>
    <w:p>
      <w:pPr>
        <w:spacing w:before="200" w:after="120" w:line="276" w:lineRule="auto"/>
        <w:jc w:val="left"/>
      </w:pPr>
      <w:r>
        <w:rPr>
          <w:rFonts w:ascii="Times New Roman" w:hAnsi="Times New Roman"/>
          <w:b/>
          <w:color w:val="000000"/>
          <w:sz w:val="26"/>
        </w:rPr>
        <w:t>Section 2 : Réalisation et fonctionnalités</w:t>
      </w:r>
    </w:p>
    <w:p>
      <w:pPr>
        <w:spacing w:before="160" w:after="80"/>
        <w:jc w:val="left"/>
      </w:pPr>
      <w:r>
        <w:rPr>
          <w:rFonts w:ascii="Times New Roman" w:hAnsi="Times New Roman"/>
          <w:b/>
          <w:i/>
          <w:color w:val="000000"/>
          <w:sz w:val="24"/>
        </w:rPr>
        <w:t>2.1. Principaux modules réalisés</w:t>
      </w:r>
    </w:p>
    <w:p>
      <w:pPr>
        <w:spacing w:line="276" w:lineRule="auto" w:after="120"/>
        <w:ind w:firstLine="567"/>
        <w:jc w:val="both"/>
      </w:pPr>
      <w:r>
        <w:rPr>
          <w:rFonts w:ascii="Times New Roman" w:hAnsi="Times New Roman"/>
          <w:sz w:val="24"/>
        </w:rPr>
        <w:t>La solution réalisée couvre l'ensemble du cycle de vie d'un tiers à travers plusieurs modules :</w:t>
      </w:r>
    </w:p>
    <w:p>
      <w:pPr>
        <w:pStyle w:val="ListBullet"/>
        <w:spacing w:line="276" w:lineRule="auto"/>
      </w:pPr>
      <w:r>
        <w:rPr>
          <w:rFonts w:ascii="Times New Roman" w:hAnsi="Times New Roman"/>
          <w:sz w:val="24"/>
        </w:rPr>
        <w:t>le référentiel et l'onboarding (création de la fiche du tiers et invitation sécurisée) ;</w:t>
      </w:r>
    </w:p>
    <w:p>
      <w:pPr>
        <w:pStyle w:val="ListBullet"/>
        <w:spacing w:line="276" w:lineRule="auto"/>
      </w:pPr>
      <w:r>
        <w:rPr>
          <w:rFonts w:ascii="Times New Roman" w:hAnsi="Times New Roman"/>
          <w:sz w:val="24"/>
        </w:rPr>
        <w:t>l'authentification et l'espace personnel du tiers, disponible en français et en anglais ;</w:t>
      </w:r>
    </w:p>
    <w:p>
      <w:pPr>
        <w:pStyle w:val="ListBullet"/>
        <w:spacing w:line="276" w:lineRule="auto"/>
      </w:pPr>
      <w:r>
        <w:rPr>
          <w:rFonts w:ascii="Times New Roman" w:hAnsi="Times New Roman"/>
          <w:sz w:val="24"/>
        </w:rPr>
        <w:t>la collecte documentaire en libre-service et les questionnaires structurés ;</w:t>
      </w:r>
    </w:p>
    <w:p>
      <w:pPr>
        <w:pStyle w:val="ListBullet"/>
        <w:spacing w:line="276" w:lineRule="auto"/>
      </w:pPr>
      <w:r>
        <w:rPr>
          <w:rFonts w:ascii="Times New Roman" w:hAnsi="Times New Roman"/>
          <w:sz w:val="24"/>
        </w:rPr>
        <w:t>le screening des sanctions et des personnes politiquement exposées ;</w:t>
      </w:r>
    </w:p>
    <w:p>
      <w:pPr>
        <w:pStyle w:val="ListBullet"/>
        <w:spacing w:line="276" w:lineRule="auto"/>
      </w:pPr>
      <w:r>
        <w:rPr>
          <w:rFonts w:ascii="Times New Roman" w:hAnsi="Times New Roman"/>
          <w:sz w:val="24"/>
        </w:rPr>
        <w:t>la revue et la validation hiérarchisée des dossiers par les chargés de conformité ;</w:t>
      </w:r>
    </w:p>
    <w:p>
      <w:pPr>
        <w:pStyle w:val="ListBullet"/>
        <w:spacing w:line="276" w:lineRule="auto"/>
      </w:pPr>
      <w:r>
        <w:rPr>
          <w:rFonts w:ascii="Times New Roman" w:hAnsi="Times New Roman"/>
          <w:sz w:val="24"/>
        </w:rPr>
        <w:t>la déclaration des bénéficiaires effectifs (UBO) ;</w:t>
      </w:r>
    </w:p>
    <w:p>
      <w:pPr>
        <w:pStyle w:val="ListBullet"/>
        <w:spacing w:line="276" w:lineRule="auto"/>
      </w:pPr>
      <w:r>
        <w:rPr>
          <w:rFonts w:ascii="Times New Roman" w:hAnsi="Times New Roman"/>
          <w:sz w:val="24"/>
        </w:rPr>
        <w:t>les relances automatiques de mise à jour et les tableaux de bord de pilotage.</w:t>
      </w:r>
    </w:p>
    <w:p>
      <w:pPr>
        <w:spacing w:before="160" w:after="80"/>
        <w:jc w:val="left"/>
      </w:pPr>
      <w:r>
        <w:rPr>
          <w:rFonts w:ascii="Times New Roman" w:hAnsi="Times New Roman"/>
          <w:b/>
          <w:i/>
          <w:color w:val="000000"/>
          <w:sz w:val="24"/>
        </w:rPr>
        <w:t>2.2. Présentation de quelques interfaces</w:t>
      </w:r>
    </w:p>
    <w:p>
      <w:pPr>
        <w:jc w:val="both"/>
      </w:pPr>
      <w:r>
        <w:rPr>
          <w:rFonts w:ascii="Times New Roman" w:hAnsi="Times New Roman"/>
          <w:i/>
          <w:color w:val="C8102E"/>
          <w:sz w:val="24"/>
        </w:rPr>
        <w:t>[ Insérez ici des captures d'écran de la solution (Figures 6, 7, 8…) : espace tiers, formulaire d'onboarding, file de validation, tableau de bord. Chaque capture porte un titre en dessous et est commentée dans le texte. ]</w:t>
      </w:r>
    </w:p>
    <w:p>
      <w:pPr>
        <w:spacing w:before="160" w:after="80"/>
        <w:jc w:val="left"/>
      </w:pPr>
      <w:r>
        <w:rPr>
          <w:rFonts w:ascii="Times New Roman" w:hAnsi="Times New Roman"/>
          <w:b/>
          <w:i/>
          <w:color w:val="000000"/>
          <w:sz w:val="24"/>
        </w:rPr>
        <w:t>2.3. Apport du travail réalisé</w:t>
      </w:r>
    </w:p>
    <w:p>
      <w:pPr>
        <w:spacing w:line="276" w:lineRule="auto" w:after="120"/>
        <w:ind w:firstLine="567"/>
        <w:jc w:val="both"/>
      </w:pPr>
      <w:r>
        <w:rPr>
          <w:rFonts w:ascii="Times New Roman" w:hAnsi="Times New Roman"/>
          <w:sz w:val="24"/>
        </w:rPr>
        <w:t>La solution développée dote Afriland First Bank d'un référentiel unique et opposable des partenaires et fournisseurs, automatise les contrôles et les relances, et permet de répondre rapidement aux demandes du régulateur. Elle constitue notre principale contribution à la banque au cours de ce stage.</w:t>
      </w:r>
    </w:p>
    <w:p>
      <w:r>
        <w:br w:type="page"/>
      </w:r>
    </w:p>
    <w:p>
      <w:pPr>
        <w:spacing w:before="240" w:after="160" w:line="276" w:lineRule="auto"/>
        <w:jc w:val="left"/>
      </w:pPr>
      <w:r>
        <w:rPr>
          <w:rFonts w:ascii="Times New Roman" w:hAnsi="Times New Roman"/>
          <w:b/>
          <w:color w:val="000000"/>
          <w:sz w:val="28"/>
        </w:rPr>
        <w:t>CONCLUSION GÉNÉRALE</w:t>
      </w:r>
    </w:p>
    <w:p>
      <w:pPr>
        <w:spacing w:line="276" w:lineRule="auto" w:after="120"/>
        <w:ind w:firstLine="567"/>
        <w:jc w:val="both"/>
      </w:pPr>
      <w:r>
        <w:rPr>
          <w:rFonts w:ascii="Times New Roman" w:hAnsi="Times New Roman"/>
          <w:sz w:val="24"/>
        </w:rPr>
        <w:t>Au terme de ce stage effectué du 04 mai au 03 août 2026 au sein de la Direction des Recherches et de l'Innovation d'Afriland First Bank, nous avons conçu et réalisé un portail de connaissance des partenaires et fournisseurs (KYP/KYS). Ce travail répond à la problématique de la digitalisation et de l'automatisation du processus de connaissance des tiers non clients, dans un objectif de conformité au Règlement COBAC R-2023/01, de traçabilité et d'efficacité opérationnelle.</w:t>
      </w:r>
    </w:p>
    <w:p>
      <w:pPr>
        <w:spacing w:line="276" w:lineRule="auto" w:after="120"/>
        <w:ind w:firstLine="567"/>
        <w:jc w:val="both"/>
      </w:pPr>
      <w:r>
        <w:rPr>
          <w:rFonts w:ascii="Times New Roman" w:hAnsi="Times New Roman"/>
          <w:sz w:val="24"/>
        </w:rPr>
        <w:t>Notre démarche a consisté à analyser le besoin, à modéliser la solution à l'aide du langage UML, puis à la réaliser sur la suite Microsoft Power Platform. La solution obtenue centralise les dossiers des tiers, automatise les contrôles et les relances, et offre aux directions métier des tableaux de bord de pilotage.</w:t>
      </w:r>
    </w:p>
    <w:p>
      <w:pPr>
        <w:spacing w:line="276" w:lineRule="auto" w:after="120"/>
        <w:ind w:firstLine="567"/>
        <w:jc w:val="both"/>
      </w:pPr>
      <w:r>
        <w:rPr>
          <w:rFonts w:ascii="Times New Roman" w:hAnsi="Times New Roman"/>
          <w:sz w:val="24"/>
        </w:rPr>
        <w:t>Ce stage a été pour nous une expérience enrichissante, qui nous a permis de mettre en pratique nos connaissances et de découvrir les exigences du secteur bancaire. Plusieurs perspectives d'évolution demeurent, parmi lesquelles l'automatisation complète du calcul de la chaîne de détention des bénéficiaires effectifs, l'enrichissement des tableaux de bord réglementaires et la finalisation de certaines intégrations.</w:t>
      </w:r>
    </w:p>
    <w:p>
      <w:r>
        <w:br w:type="page"/>
      </w:r>
    </w:p>
    <w:p>
      <w:pPr>
        <w:spacing w:before="240" w:after="160" w:line="276" w:lineRule="auto"/>
        <w:jc w:val="left"/>
      </w:pPr>
      <w:r>
        <w:rPr>
          <w:rFonts w:ascii="Times New Roman" w:hAnsi="Times New Roman"/>
          <w:b/>
          <w:color w:val="000000"/>
          <w:sz w:val="28"/>
        </w:rPr>
        <w:t>RÉFÉRENCES BIBLIOGRAPHIQUES</w:t>
      </w:r>
    </w:p>
    <w:p>
      <w:pPr>
        <w:jc w:val="both"/>
      </w:pPr>
      <w:r>
        <w:rPr>
          <w:rFonts w:ascii="Times New Roman" w:hAnsi="Times New Roman"/>
          <w:i/>
          <w:color w:val="C8102E"/>
          <w:sz w:val="24"/>
        </w:rPr>
        <w:t>[ À compléter selon les normes de l'ISJ. Distinguez les ouvrages, les articles et les sources électroniques. Exemples de sources à citer : ]</w:t>
      </w:r>
    </w:p>
    <w:p>
      <w:pPr>
        <w:spacing w:line="276" w:lineRule="auto" w:after="120"/>
        <w:jc w:val="both"/>
      </w:pPr>
      <w:r>
        <w:rPr>
          <w:rFonts w:ascii="Times New Roman" w:hAnsi="Times New Roman"/>
          <w:sz w:val="24"/>
        </w:rPr>
        <w:t>Commission Bancaire de l'Afrique Centrale, (2023), Règlement COBAC R-2023/01 relatif à la lutte contre le blanchiment des capitaux et le financement du terrorisme.</w:t>
      </w:r>
    </w:p>
    <w:p>
      <w:pPr>
        <w:spacing w:line="276" w:lineRule="auto" w:after="120"/>
        <w:jc w:val="both"/>
      </w:pPr>
      <w:r>
        <w:rPr>
          <w:rFonts w:ascii="Times New Roman" w:hAnsi="Times New Roman"/>
          <w:sz w:val="24"/>
        </w:rPr>
        <w:t>Afriland First Bank, Cahier des charges — Portail KYP/KYS (AFB_CG_KYP_KYS_V1.0_2026) et Document de conception (AFB_CDC_KYP_KYS_CONCEPTION_V1.1_2026).</w:t>
      </w:r>
    </w:p>
    <w:p>
      <w:pPr>
        <w:spacing w:line="276" w:lineRule="auto" w:after="120"/>
        <w:jc w:val="both"/>
      </w:pPr>
      <w:r>
        <w:rPr>
          <w:rFonts w:ascii="Times New Roman" w:hAnsi="Times New Roman"/>
          <w:sz w:val="24"/>
        </w:rPr>
        <w:t>Microsoft, (2026), « Documentation Microsoft Power Platform », Microsoft Learn, https://learn.microsoft.com/power-platform/ (consulté le JJ/MM/AAAA).</w:t>
      </w:r>
    </w:p>
    <w:p>
      <w:r>
        <w:br w:type="page"/>
      </w:r>
    </w:p>
    <w:p>
      <w:pPr>
        <w:spacing w:before="240" w:after="160" w:line="276" w:lineRule="auto"/>
        <w:jc w:val="left"/>
      </w:pPr>
      <w:r>
        <w:rPr>
          <w:rFonts w:ascii="Times New Roman" w:hAnsi="Times New Roman"/>
          <w:b/>
          <w:color w:val="000000"/>
          <w:sz w:val="28"/>
        </w:rPr>
        <w:t>ANNEXES</w:t>
      </w:r>
    </w:p>
    <w:p>
      <w:pPr>
        <w:jc w:val="both"/>
      </w:pPr>
      <w:r>
        <w:rPr>
          <w:rFonts w:ascii="Times New Roman" w:hAnsi="Times New Roman"/>
          <w:i/>
          <w:color w:val="C8102E"/>
          <w:sz w:val="24"/>
        </w:rPr>
        <w:t>[ Numérotez les annexes en lettres majuscules (A, B, C…). Exemples : Annexe A — Cahier des charges ; Annexe B — Modèle de données Dataverse ; Annexe C — Fiche de recette. Chaque annexe commence sur une nouvelle page et doit être annoncée dans le texte. ]</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