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4682"/>
          <w:sz w:val="28"/>
        </w:rPr>
        <w:t>CONCEPT PAPER</w:t>
      </w:r>
    </w:p>
    <w:p>
      <w:pPr>
        <w:jc w:val="center"/>
      </w:pPr>
      <w:r>
        <w:rPr>
          <w:b/>
          <w:color w:val="1860AB"/>
          <w:sz w:val="56"/>
        </w:rPr>
        <w:t>Maple Online School</w:t>
      </w:r>
    </w:p>
    <w:p>
      <w:pPr>
        <w:jc w:val="center"/>
      </w:pPr>
      <w:r>
        <w:rPr>
          <w:i/>
          <w:color w:val="464646"/>
          <w:sz w:val="32"/>
        </w:rPr>
        <w:t>A Complete Digital School Operating System for East Africa</w:t>
      </w:r>
    </w:p>
    <w:p/>
    <w:tbl>
      <w:tblPr>
        <w:tblW w:type="auto" w:w="0"/>
        <w:jc w:val="center"/>
        <w:tblLayout w:type="fixed"/>
        <w:tblLook w:firstColumn="1" w:firstRow="1" w:lastColumn="0" w:lastRow="0" w:noHBand="0" w:noVBand="1" w:val="04A0"/>
      </w:tblPr>
      <w:tblGrid>
        <w:gridCol w:w="9936"/>
      </w:tblGrid>
      <w:tr>
        <w:tc>
          <w:tcPr>
            <w:tcW w:type="dxa" w:w="9360"/>
            <w:shd w:fill="EAF2FB"/>
            <w:vAlign w:val="center"/>
          </w:tcPr>
          <w:p>
            <w:pPr>
              <w:jc w:val="left"/>
            </w:pPr>
            <w:r>
              <w:rPr>
                <w:b/>
                <w:color w:val="1F4E79"/>
                <w:sz w:val="24"/>
              </w:rPr>
              <w:t>Maple Online School brings learning, teaching, school administration, parent engagement, and finance into one integrated platform built for African school realities.</w:t>
            </w:r>
          </w:p>
        </w:tc>
      </w:tr>
    </w:tbl>
    <w:p/>
    <w:p>
      <w:pPr>
        <w:jc w:val="center"/>
      </w:pPr>
      <w:r>
        <w:rPr>
          <w:color w:val="5A5A5A"/>
          <w:sz w:val="22"/>
        </w:rPr>
        <w:t>Prepared for potential institutional buyers, strategic partners, and investors</w:t>
      </w:r>
    </w:p>
    <w:p>
      <w:pPr>
        <w:jc w:val="center"/>
      </w:pPr>
      <w:r>
        <w:rPr>
          <w:color w:val="5A5A5A"/>
          <w:sz w:val="22"/>
        </w:rPr>
        <w:t>Platform: Maple Online School</w:t>
      </w:r>
    </w:p>
    <w:p>
      <w:pPr>
        <w:jc w:val="center"/>
      </w:pPr>
      <w:r>
        <w:rPr>
          <w:color w:val="5A5A5A"/>
          <w:sz w:val="22"/>
        </w:rPr>
        <w:t>Date: April 2026</w:t>
      </w:r>
    </w:p>
    <w:p>
      <w:r>
        <w:br w:type="page"/>
      </w:r>
    </w:p>
    <w:p>
      <w:pPr>
        <w:spacing w:before="160" w:after="80"/>
      </w:pPr>
      <w:r>
        <w:rPr>
          <w:b/>
          <w:color w:val="1860AB"/>
          <w:sz w:val="32"/>
        </w:rPr>
        <w:t>1. Executive Summary</w:t>
      </w:r>
    </w:p>
    <w:p>
      <w:pPr>
        <w:spacing w:after="80" w:line="269" w:lineRule="auto"/>
      </w:pPr>
      <w:r>
        <w:t>Maple Online School is a comprehensive digital school platform designed specifically for the operational realities of schools in East Africa. It combines academic management, teaching and learning, parent engagement, school administration, and finance in one integrated system.</w:t>
      </w:r>
    </w:p>
    <w:p>
      <w:pPr>
        <w:spacing w:after="80" w:line="269" w:lineRule="auto"/>
      </w:pPr>
      <w:r>
        <w:t>Rather than forcing schools to use separate tools for attendance, communication, academic tracking, and fee management, Maple Online School works as a full school operating system. It gives each user in the school ecosystem a dedicated workspace while allowing school leadership to manage the institution as one connected environment.</w:t>
      </w:r>
    </w:p>
    <w:p>
      <w:pPr>
        <w:pStyle w:val="ListBullet"/>
        <w:spacing w:after="40" w:line="259" w:lineRule="auto"/>
      </w:pPr>
      <w:r>
        <w:t>Students receive structured class pathways, practice tools, revision resources, and exam-readiness insights.</w:t>
      </w:r>
    </w:p>
    <w:p>
      <w:pPr>
        <w:pStyle w:val="ListBullet"/>
        <w:spacing w:after="40" w:line="259" w:lineRule="auto"/>
      </w:pPr>
      <w:r>
        <w:t>Teachers receive a teaching command centre with planning tools, class health monitoring, alerts, and AI support.</w:t>
      </w:r>
    </w:p>
    <w:p>
      <w:pPr>
        <w:pStyle w:val="ListBullet"/>
        <w:spacing w:after="40" w:line="259" w:lineRule="auto"/>
      </w:pPr>
      <w:r>
        <w:t>Parents receive real-time visibility into attendance, performance, and support actions.</w:t>
      </w:r>
    </w:p>
    <w:p>
      <w:pPr>
        <w:pStyle w:val="ListBullet"/>
        <w:spacing w:after="40" w:line="259" w:lineRule="auto"/>
      </w:pPr>
      <w:r>
        <w:t>Administrators receive academic, operational, and financial control through an integrated ERP-style platform.</w:t>
      </w:r>
    </w:p>
    <w:p>
      <w:pPr>
        <w:spacing w:before="160" w:after="80"/>
      </w:pPr>
      <w:r>
        <w:rPr>
          <w:b/>
          <w:color w:val="1860AB"/>
          <w:sz w:val="32"/>
        </w:rPr>
        <w:t>2. Background and Problem Statement</w:t>
      </w:r>
    </w:p>
    <w:p>
      <w:pPr>
        <w:spacing w:after="80" w:line="269" w:lineRule="auto"/>
      </w:pPr>
      <w:r>
        <w:t>Across East Africa, many schools still rely on paper registers, handwritten report cards, spreadsheets for financial management, and informal messaging groups for communication. These disconnected tools create major blind spots in learner tracking, teacher coordination, parent engagement, and institutional decision-making.</w:t>
      </w:r>
    </w:p>
    <w:p>
      <w:pPr>
        <w:pStyle w:val="ListBullet"/>
        <w:spacing w:after="40" w:line="259" w:lineRule="auto"/>
      </w:pPr>
      <w:r>
        <w:t>Students who are struggling are often identified too late.</w:t>
      </w:r>
    </w:p>
    <w:p>
      <w:pPr>
        <w:pStyle w:val="ListBullet"/>
        <w:spacing w:after="40" w:line="259" w:lineRule="auto"/>
      </w:pPr>
      <w:r>
        <w:t>Parents receive academic updates infrequently and with little actionable detail.</w:t>
      </w:r>
    </w:p>
    <w:p>
      <w:pPr>
        <w:pStyle w:val="ListBullet"/>
        <w:spacing w:after="40" w:line="259" w:lineRule="auto"/>
      </w:pPr>
      <w:r>
        <w:t>Teachers carry a heavy administrative burden with limited support.</w:t>
      </w:r>
    </w:p>
    <w:p>
      <w:pPr>
        <w:pStyle w:val="ListBullet"/>
        <w:spacing w:after="40" w:line="259" w:lineRule="auto"/>
      </w:pPr>
      <w:r>
        <w:t>School finances are tracked in ways that are difficult to reconcile, monitor, or audit.</w:t>
      </w:r>
    </w:p>
    <w:p>
      <w:pPr>
        <w:pStyle w:val="ListBullet"/>
        <w:spacing w:after="40" w:line="259" w:lineRule="auto"/>
      </w:pPr>
      <w:r>
        <w:t>Leaders lack real-time visibility into academic performance, attendance, and operational health.</w:t>
      </w:r>
    </w:p>
    <w:p>
      <w:pPr>
        <w:spacing w:after="80" w:line="269" w:lineRule="auto"/>
      </w:pPr>
      <w:r>
        <w:t>At the same time, learners preparing for national examinations such as PLE, UCE, UACE, KCSE, and equivalent assessment pathways need structured support, quality resources, and timely interventions. Schools need a platform that reflects African curricula, school fee realities, and local connectivity conditions rather than generic foreign software assumptions.</w:t>
      </w:r>
    </w:p>
    <w:p>
      <w:pPr>
        <w:spacing w:before="160" w:after="80"/>
      </w:pPr>
      <w:r>
        <w:rPr>
          <w:b/>
          <w:color w:val="1860AB"/>
          <w:sz w:val="32"/>
        </w:rPr>
        <w:t>3. The Maple Online School Solution</w:t>
      </w:r>
    </w:p>
    <w:p>
      <w:pPr>
        <w:spacing w:after="80" w:line="269" w:lineRule="auto"/>
      </w:pPr>
      <w:r>
        <w:t>Maple Online School addresses this gap by bringing learning, teaching, administration, finance, and communication into one connected digital environment. It is designed to function as a school operating system rather than a single-purpose app.</w:t>
      </w:r>
    </w:p>
    <w:p>
      <w:pPr>
        <w:pStyle w:val="ListBullet"/>
        <w:spacing w:after="40" w:line="259" w:lineRule="auto"/>
      </w:pPr>
      <w:r>
        <w:t>Curriculum-aligned class, subject, topic, and lesson structures</w:t>
      </w:r>
    </w:p>
    <w:p>
      <w:pPr>
        <w:pStyle w:val="ListBullet"/>
        <w:spacing w:after="40" w:line="259" w:lineRule="auto"/>
      </w:pPr>
      <w:r>
        <w:t>Student, teacher, parent, institution, and platform-admin dashboards</w:t>
      </w:r>
    </w:p>
    <w:p>
      <w:pPr>
        <w:pStyle w:val="ListBullet"/>
        <w:spacing w:after="40" w:line="259" w:lineRule="auto"/>
      </w:pPr>
      <w:r>
        <w:t>School timetable and lesson coordination tools</w:t>
      </w:r>
    </w:p>
    <w:p>
      <w:pPr>
        <w:pStyle w:val="ListBullet"/>
        <w:spacing w:after="40" w:line="259" w:lineRule="auto"/>
      </w:pPr>
      <w:r>
        <w:t>Integrated finance and billing workflows</w:t>
      </w:r>
    </w:p>
    <w:p>
      <w:pPr>
        <w:pStyle w:val="ListBullet"/>
        <w:spacing w:after="40" w:line="259" w:lineRule="auto"/>
      </w:pPr>
      <w:r>
        <w:t>Resource centre and teacher content publishing tools</w:t>
      </w:r>
    </w:p>
    <w:p>
      <w:pPr>
        <w:pStyle w:val="ListBullet"/>
        <w:spacing w:after="40" w:line="259" w:lineRule="auto"/>
      </w:pPr>
      <w:r>
        <w:t>Exam-readiness tracking aligned to regional realities</w:t>
      </w:r>
    </w:p>
    <w:p>
      <w:pPr>
        <w:pStyle w:val="ListBullet"/>
        <w:spacing w:after="40" w:line="259" w:lineRule="auto"/>
      </w:pPr>
      <w:r>
        <w:t>Low-bandwidth and offline-aware design</w:t>
      </w:r>
    </w:p>
    <w:p>
      <w:pPr>
        <w:spacing w:before="160" w:after="80"/>
      </w:pPr>
      <w:r>
        <w:rPr>
          <w:b/>
          <w:color w:val="1860AB"/>
          <w:sz w:val="32"/>
        </w:rPr>
        <w:t>4. Who Maple Online School Serves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color w:val="1F4E79"/>
              </w:rPr>
              <w:t>User</w:t>
            </w:r>
          </w:p>
        </w:tc>
        <w:tc>
          <w:tcPr>
            <w:tcW w:type="dxa" w:w="3312"/>
            <w:shd w:fill="D9EAF7"/>
          </w:tcPr>
          <w:p>
            <w:r>
              <w:rPr>
                <w:b/>
                <w:color w:val="1F4E79"/>
              </w:rPr>
              <w:t>Primary Need</w:t>
            </w:r>
          </w:p>
        </w:tc>
        <w:tc>
          <w:tcPr>
            <w:tcW w:type="dxa" w:w="3312"/>
            <w:shd w:fill="D9EAF7"/>
          </w:tcPr>
          <w:p>
            <w:r>
              <w:rPr>
                <w:b/>
                <w:color w:val="1F4E79"/>
              </w:rPr>
              <w:t>Maple Online School Value</w:t>
            </w:r>
          </w:p>
        </w:tc>
      </w:tr>
      <w:tr>
        <w:tc>
          <w:tcPr>
            <w:tcW w:type="dxa" w:w="3312"/>
            <w:vAlign w:val="center"/>
          </w:tcPr>
          <w:p>
            <w:r>
              <w:t>Students</w:t>
            </w:r>
          </w:p>
        </w:tc>
        <w:tc>
          <w:tcPr>
            <w:tcW w:type="dxa" w:w="3312"/>
            <w:vAlign w:val="center"/>
          </w:tcPr>
          <w:p>
            <w:r>
              <w:t>Structured learning and progress tracking</w:t>
            </w:r>
          </w:p>
        </w:tc>
        <w:tc>
          <w:tcPr>
            <w:tcW w:type="dxa" w:w="3312"/>
            <w:vAlign w:val="center"/>
          </w:tcPr>
          <w:p>
            <w:r>
              <w:t>Personal dashboard, readiness insights, resources, assignments, study continuity, and guided support</w:t>
            </w:r>
          </w:p>
        </w:tc>
      </w:tr>
      <w:tr>
        <w:tc>
          <w:tcPr>
            <w:tcW w:type="dxa" w:w="3312"/>
            <w:vAlign w:val="center"/>
          </w:tcPr>
          <w:p>
            <w:r>
              <w:t>Teachers</w:t>
            </w:r>
          </w:p>
        </w:tc>
        <w:tc>
          <w:tcPr>
            <w:tcW w:type="dxa" w:w="3312"/>
            <w:vAlign w:val="center"/>
          </w:tcPr>
          <w:p>
            <w:r>
              <w:t>Teaching efficiency and student visibility</w:t>
            </w:r>
          </w:p>
        </w:tc>
        <w:tc>
          <w:tcPr>
            <w:tcW w:type="dxa" w:w="3312"/>
            <w:vAlign w:val="center"/>
          </w:tcPr>
          <w:p>
            <w:r>
              <w:t>Command centre, class health, AI planning tools, alerts, attendance, and intervention support</w:t>
            </w:r>
          </w:p>
        </w:tc>
      </w:tr>
      <w:tr>
        <w:tc>
          <w:tcPr>
            <w:tcW w:type="dxa" w:w="3312"/>
            <w:vAlign w:val="center"/>
          </w:tcPr>
          <w:p>
            <w:r>
              <w:t>Parents</w:t>
            </w:r>
          </w:p>
        </w:tc>
        <w:tc>
          <w:tcPr>
            <w:tcW w:type="dxa" w:w="3312"/>
            <w:vAlign w:val="center"/>
          </w:tcPr>
          <w:p>
            <w:r>
              <w:t>Meaningful visibility and follow-up</w:t>
            </w:r>
          </w:p>
        </w:tc>
        <w:tc>
          <w:tcPr>
            <w:tcW w:type="dxa" w:w="3312"/>
            <w:vAlign w:val="center"/>
          </w:tcPr>
          <w:p>
            <w:r>
              <w:t>Real-time attendance, grades, teacher notes, support actions, and progress tracking</w:t>
            </w:r>
          </w:p>
        </w:tc>
      </w:tr>
      <w:tr>
        <w:tc>
          <w:tcPr>
            <w:tcW w:type="dxa" w:w="3312"/>
            <w:vAlign w:val="center"/>
          </w:tcPr>
          <w:p>
            <w:r>
              <w:t>School Administrators</w:t>
            </w:r>
          </w:p>
        </w:tc>
        <w:tc>
          <w:tcPr>
            <w:tcW w:type="dxa" w:w="3312"/>
            <w:vAlign w:val="center"/>
          </w:tcPr>
          <w:p>
            <w:r>
              <w:t>Operational and financial control</w:t>
            </w:r>
          </w:p>
        </w:tc>
        <w:tc>
          <w:tcPr>
            <w:tcW w:type="dxa" w:w="3312"/>
            <w:vAlign w:val="center"/>
          </w:tcPr>
          <w:p>
            <w:r>
              <w:t>Timetabling, enrolment, reporting, staff oversight, finance ERP, and institution intelligence</w:t>
            </w:r>
          </w:p>
        </w:tc>
      </w:tr>
    </w:tbl>
    <w:p>
      <w:pPr>
        <w:spacing w:before="160" w:after="80"/>
      </w:pPr>
      <w:r>
        <w:rPr>
          <w:b/>
          <w:color w:val="1860AB"/>
          <w:sz w:val="32"/>
        </w:rPr>
        <w:t>5. Core Platform Components</w:t>
      </w:r>
    </w:p>
    <w:p>
      <w:pPr>
        <w:spacing w:before="160" w:after="80"/>
      </w:pPr>
      <w:r>
        <w:rPr>
          <w:b/>
          <w:color w:val="1F4E79"/>
          <w:sz w:val="25"/>
        </w:rPr>
        <w:t>5.1 Student Learning Dashboard</w:t>
      </w:r>
    </w:p>
    <w:p>
      <w:pPr>
        <w:spacing w:after="80" w:line="269" w:lineRule="auto"/>
      </w:pPr>
      <w:r>
        <w:t>Each student receives a personal academic workspace that shows progress across subjects, highlights weak areas, surfaces recommended resources, and tracks readiness for key examinations. Students can continue reading, continue watching, resume learning, complete assignments, and build positive learning habits through motivating progress signals.</w:t>
      </w:r>
    </w:p>
    <w:p>
      <w:pPr>
        <w:spacing w:before="160" w:after="80"/>
      </w:pPr>
      <w:r>
        <w:rPr>
          <w:b/>
          <w:color w:val="1F4E79"/>
          <w:sz w:val="25"/>
        </w:rPr>
        <w:t>5.2 Teacher Intelligence Tools</w:t>
      </w:r>
    </w:p>
    <w:p>
      <w:pPr>
        <w:spacing w:after="80" w:line="269" w:lineRule="auto"/>
      </w:pPr>
      <w:r>
        <w:t>Teachers receive a command centre that helps them prepare lessons, monitor class performance, upload resources, create assignments, and identify struggling learners early. The platform can support AI-assisted lesson planning, quiz creation, intervention recommendations, and parent communication drafting.</w:t>
      </w:r>
    </w:p>
    <w:p>
      <w:pPr>
        <w:spacing w:before="160" w:after="80"/>
      </w:pPr>
      <w:r>
        <w:rPr>
          <w:b/>
          <w:color w:val="1F4E79"/>
          <w:sz w:val="25"/>
        </w:rPr>
        <w:t>5.3 Parent Visibility</w:t>
      </w:r>
    </w:p>
    <w:p>
      <w:pPr>
        <w:spacing w:after="80" w:line="269" w:lineRule="auto"/>
      </w:pPr>
      <w:r>
        <w:t>Parents no longer wait until the end of term to understand how their child is doing. Through the parent dashboard, they can monitor attendance, subject performance, alerts, teacher notes, and recommended home-support actions from their phone.</w:t>
      </w:r>
    </w:p>
    <w:p>
      <w:pPr>
        <w:spacing w:before="160" w:after="80"/>
      </w:pPr>
      <w:r>
        <w:rPr>
          <w:b/>
          <w:color w:val="1F4E79"/>
          <w:sz w:val="25"/>
        </w:rPr>
        <w:t>5.4 Finance and ERP</w:t>
      </w:r>
    </w:p>
    <w:p>
      <w:pPr>
        <w:spacing w:after="80" w:line="269" w:lineRule="auto"/>
      </w:pPr>
      <w:r>
        <w:t>Maple Online School includes a school finance and ERP layer built for how schools in Africa actually operate. This includes fee categories, student billing, payment collections, bursaries, discounts, transport and boarding charges, expense recording, budgeting, and financial reporting.</w:t>
      </w:r>
    </w:p>
    <w:p>
      <w:pPr>
        <w:spacing w:before="160" w:after="80"/>
      </w:pPr>
      <w:r>
        <w:rPr>
          <w:b/>
          <w:color w:val="1F4E79"/>
          <w:sz w:val="25"/>
        </w:rPr>
        <w:t>5.5 Timetable and School Operations</w:t>
      </w:r>
    </w:p>
    <w:p>
      <w:pPr>
        <w:spacing w:after="80" w:line="269" w:lineRule="auto"/>
      </w:pPr>
      <w:r>
        <w:t>Schools can manage classes, terms, teacher allocations, timetable construction, and lesson delivery workflows digitally. Collision-aware scheduling, teacher reminders, attendance workflows, and lesson follow-up logic reduce operational friction.</w:t>
      </w:r>
    </w:p>
    <w:p>
      <w:pPr>
        <w:spacing w:before="160" w:after="80"/>
      </w:pPr>
      <w:r>
        <w:rPr>
          <w:b/>
          <w:color w:val="1F4E79"/>
          <w:sz w:val="25"/>
        </w:rPr>
        <w:t>5.6 Content and Resource Ecosystem</w:t>
      </w:r>
    </w:p>
    <w:p>
      <w:pPr>
        <w:spacing w:after="80" w:line="269" w:lineRule="auto"/>
      </w:pPr>
      <w:r>
        <w:t>Maple Online School supports both institution-curated resources and teacher-created materials. Content can be organised by class, subject, topic, and lesson, enabling schools to build structured learning libraries and revision paths.</w:t>
      </w:r>
    </w:p>
    <w:p>
      <w:pPr>
        <w:spacing w:before="160" w:after="80"/>
      </w:pPr>
      <w:r>
        <w:rPr>
          <w:b/>
          <w:color w:val="1F4E79"/>
          <w:sz w:val="25"/>
        </w:rPr>
        <w:t>5.7 National Exam Readiness</w:t>
      </w:r>
    </w:p>
    <w:p>
      <w:pPr>
        <w:spacing w:after="80" w:line="269" w:lineRule="auto"/>
      </w:pPr>
      <w:r>
        <w:t>The platform is designed to help students, teachers, parents, and institutions monitor readiness for major examination pathways including Uganda's PLE, UCE, and UACE; Kenya's KCSE-aligned pathways; and Rwanda's corresponding structures.</w:t>
      </w:r>
    </w:p>
    <w:p>
      <w:pPr>
        <w:spacing w:before="160" w:after="80"/>
      </w:pPr>
      <w:r>
        <w:rPr>
          <w:b/>
          <w:color w:val="1860AB"/>
          <w:sz w:val="32"/>
        </w:rPr>
        <w:t>6. What Makes Maple Online School Different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color w:val="1F4E79"/>
              </w:rPr>
              <w:t>Dimension</w:t>
            </w:r>
          </w:p>
        </w:tc>
        <w:tc>
          <w:tcPr>
            <w:tcW w:type="dxa" w:w="3312"/>
            <w:shd w:fill="D9EAF7"/>
          </w:tcPr>
          <w:p>
            <w:r>
              <w:rPr>
                <w:b/>
                <w:color w:val="1F4E79"/>
              </w:rPr>
              <w:t>Typical School Software</w:t>
            </w:r>
          </w:p>
        </w:tc>
        <w:tc>
          <w:tcPr>
            <w:tcW w:type="dxa" w:w="3312"/>
            <w:shd w:fill="D9EAF7"/>
          </w:tcPr>
          <w:p>
            <w:r>
              <w:rPr>
                <w:b/>
                <w:color w:val="1F4E79"/>
              </w:rPr>
              <w:t>Maple Online School</w:t>
            </w:r>
          </w:p>
        </w:tc>
      </w:tr>
      <w:tr>
        <w:tc>
          <w:tcPr>
            <w:tcW w:type="dxa" w:w="3312"/>
            <w:vAlign w:val="center"/>
          </w:tcPr>
          <w:p>
            <w:r>
              <w:t>Scope</w:t>
            </w:r>
          </w:p>
        </w:tc>
        <w:tc>
          <w:tcPr>
            <w:tcW w:type="dxa" w:w="3312"/>
            <w:vAlign w:val="center"/>
          </w:tcPr>
          <w:p>
            <w:r>
              <w:t>Handles administration or learning, rarely both</w:t>
            </w:r>
          </w:p>
        </w:tc>
        <w:tc>
          <w:tcPr>
            <w:tcW w:type="dxa" w:w="3312"/>
            <w:vAlign w:val="center"/>
          </w:tcPr>
          <w:p>
            <w:r>
              <w:t>Combines learning, teaching, administration, finance, and parent engagement</w:t>
            </w:r>
          </w:p>
        </w:tc>
      </w:tr>
      <w:tr>
        <w:tc>
          <w:tcPr>
            <w:tcW w:type="dxa" w:w="3312"/>
            <w:vAlign w:val="center"/>
          </w:tcPr>
          <w:p>
            <w:r>
              <w:t>Curriculum Fit</w:t>
            </w:r>
          </w:p>
        </w:tc>
        <w:tc>
          <w:tcPr>
            <w:tcW w:type="dxa" w:w="3312"/>
            <w:vAlign w:val="center"/>
          </w:tcPr>
          <w:p>
            <w:r>
              <w:t>Often generic or imported</w:t>
            </w:r>
          </w:p>
        </w:tc>
        <w:tc>
          <w:tcPr>
            <w:tcW w:type="dxa" w:w="3312"/>
            <w:vAlign w:val="center"/>
          </w:tcPr>
          <w:p>
            <w:r>
              <w:t>Built around East African school structures and curriculum realities</w:t>
            </w:r>
          </w:p>
        </w:tc>
      </w:tr>
      <w:tr>
        <w:tc>
          <w:tcPr>
            <w:tcW w:type="dxa" w:w="3312"/>
            <w:vAlign w:val="center"/>
          </w:tcPr>
          <w:p>
            <w:r>
              <w:t>Exam Alignment</w:t>
            </w:r>
          </w:p>
        </w:tc>
        <w:tc>
          <w:tcPr>
            <w:tcW w:type="dxa" w:w="3312"/>
            <w:vAlign w:val="center"/>
          </w:tcPr>
          <w:p>
            <w:r>
              <w:t>Limited or absent</w:t>
            </w:r>
          </w:p>
        </w:tc>
        <w:tc>
          <w:tcPr>
            <w:tcW w:type="dxa" w:w="3312"/>
            <w:vAlign w:val="center"/>
          </w:tcPr>
          <w:p>
            <w:r>
              <w:t>Tracks readiness for real examination pathways</w:t>
            </w:r>
          </w:p>
        </w:tc>
      </w:tr>
      <w:tr>
        <w:tc>
          <w:tcPr>
            <w:tcW w:type="dxa" w:w="3312"/>
            <w:vAlign w:val="center"/>
          </w:tcPr>
          <w:p>
            <w:r>
              <w:t>Finance</w:t>
            </w:r>
          </w:p>
        </w:tc>
        <w:tc>
          <w:tcPr>
            <w:tcW w:type="dxa" w:w="3312"/>
            <w:vAlign w:val="center"/>
          </w:tcPr>
          <w:p>
            <w:r>
              <w:t>Usually separated into spreadsheets or another system</w:t>
            </w:r>
          </w:p>
        </w:tc>
        <w:tc>
          <w:tcPr>
            <w:tcW w:type="dxa" w:w="3312"/>
            <w:vAlign w:val="center"/>
          </w:tcPr>
          <w:p>
            <w:r>
              <w:t>Includes integrated ERP and payment workflows</w:t>
            </w:r>
          </w:p>
        </w:tc>
      </w:tr>
      <w:tr>
        <w:tc>
          <w:tcPr>
            <w:tcW w:type="dxa" w:w="3312"/>
            <w:vAlign w:val="center"/>
          </w:tcPr>
          <w:p>
            <w:r>
              <w:t>Parents</w:t>
            </w:r>
          </w:p>
        </w:tc>
        <w:tc>
          <w:tcPr>
            <w:tcW w:type="dxa" w:w="3312"/>
            <w:vAlign w:val="center"/>
          </w:tcPr>
          <w:p>
            <w:r>
              <w:t>Typically an afterthought</w:t>
            </w:r>
          </w:p>
        </w:tc>
        <w:tc>
          <w:tcPr>
            <w:tcW w:type="dxa" w:w="3312"/>
            <w:vAlign w:val="center"/>
          </w:tcPr>
          <w:p>
            <w:r>
              <w:t>Parents are first-class users with their own dashboards</w:t>
            </w:r>
          </w:p>
        </w:tc>
      </w:tr>
      <w:tr>
        <w:tc>
          <w:tcPr>
            <w:tcW w:type="dxa" w:w="3312"/>
            <w:vAlign w:val="center"/>
          </w:tcPr>
          <w:p>
            <w:r>
              <w:t>Connectivity</w:t>
            </w:r>
          </w:p>
        </w:tc>
        <w:tc>
          <w:tcPr>
            <w:tcW w:type="dxa" w:w="3312"/>
            <w:vAlign w:val="center"/>
          </w:tcPr>
          <w:p>
            <w:r>
              <w:t>Assumes stable internet</w:t>
            </w:r>
          </w:p>
        </w:tc>
        <w:tc>
          <w:tcPr>
            <w:tcW w:type="dxa" w:w="3312"/>
            <w:vAlign w:val="center"/>
          </w:tcPr>
          <w:p>
            <w:r>
              <w:t>Designed with offline-first and low-bandwidth conditions in mind</w:t>
            </w:r>
          </w:p>
        </w:tc>
      </w:tr>
    </w:tbl>
    <w:p>
      <w:pPr>
        <w:spacing w:before="160" w:after="80"/>
      </w:pPr>
      <w:r>
        <w:rPr>
          <w:b/>
          <w:color w:val="1860AB"/>
          <w:sz w:val="32"/>
        </w:rPr>
        <w:t>7. Geographic and Market Relevance</w:t>
      </w:r>
    </w:p>
    <w:p>
      <w:pPr>
        <w:spacing w:after="80" w:line="269" w:lineRule="auto"/>
      </w:pPr>
      <w:r>
        <w:t>Maple Online School is designed for schools in East Africa, beginning with Uganda, Kenya, and Rwanda. The platform architecture supports country-aware curriculum structures, school-level configuration, and exam-readiness views tailored to each education environment.</w:t>
      </w:r>
    </w:p>
    <w:p>
      <w:pPr>
        <w:pStyle w:val="ListBullet"/>
        <w:spacing w:after="40" w:line="259" w:lineRule="auto"/>
      </w:pPr>
      <w:r>
        <w:t>Uganda: Primary and secondary support, including UNEB-aligned readiness logic</w:t>
      </w:r>
    </w:p>
    <w:p>
      <w:pPr>
        <w:pStyle w:val="ListBullet"/>
        <w:spacing w:after="40" w:line="259" w:lineRule="auto"/>
      </w:pPr>
      <w:r>
        <w:t>Kenya: Curriculum-aware pathways with exam-focused progression support</w:t>
      </w:r>
    </w:p>
    <w:p>
      <w:pPr>
        <w:pStyle w:val="ListBullet"/>
        <w:spacing w:after="40" w:line="259" w:lineRule="auto"/>
      </w:pPr>
      <w:r>
        <w:t>Rwanda: O-Level and A-Level structures aligned to local educational progression</w:t>
      </w:r>
    </w:p>
    <w:p>
      <w:pPr>
        <w:pStyle w:val="ListBullet"/>
        <w:spacing w:after="40" w:line="259" w:lineRule="auto"/>
      </w:pPr>
      <w:r>
        <w:t>Future expansion: Additional African markets through configurable curriculum mapping</w:t>
      </w:r>
    </w:p>
    <w:p>
      <w:pPr>
        <w:spacing w:before="160" w:after="80"/>
      </w:pPr>
      <w:r>
        <w:rPr>
          <w:b/>
          <w:color w:val="1860AB"/>
          <w:sz w:val="32"/>
        </w:rPr>
        <w:t>8. Operational Use in a School</w:t>
      </w:r>
    </w:p>
    <w:p>
      <w:pPr>
        <w:spacing w:before="160" w:after="80"/>
      </w:pPr>
      <w:r>
        <w:rPr>
          <w:b/>
          <w:color w:val="1F4E79"/>
          <w:sz w:val="25"/>
        </w:rPr>
        <w:t>8.1 Setup Phase</w:t>
      </w:r>
    </w:p>
    <w:p>
      <w:pPr>
        <w:spacing w:after="80" w:line="269" w:lineRule="auto"/>
      </w:pPr>
      <w:r>
        <w:t>A school is onboarded through a guided setup flow covering school profile, branding, class and subject configuration, teacher onboarding, student enrolment, parent linking, timetable setup, and finance activation.</w:t>
      </w:r>
    </w:p>
    <w:p>
      <w:pPr>
        <w:spacing w:before="160" w:after="80"/>
      </w:pPr>
      <w:r>
        <w:rPr>
          <w:b/>
          <w:color w:val="1F4E79"/>
          <w:sz w:val="25"/>
        </w:rPr>
        <w:t>8.2 Day-to-Day Use</w:t>
      </w:r>
    </w:p>
    <w:p>
      <w:pPr>
        <w:pStyle w:val="ListBullet"/>
        <w:spacing w:after="40" w:line="259" w:lineRule="auto"/>
      </w:pPr>
      <w:r>
        <w:t>Teachers deliver lessons, take attendance, upload resources, and review alerts.</w:t>
      </w:r>
    </w:p>
    <w:p>
      <w:pPr>
        <w:pStyle w:val="ListBullet"/>
        <w:spacing w:after="40" w:line="259" w:lineRule="auto"/>
      </w:pPr>
      <w:r>
        <w:t>Students study, revise, attend live sessions, and complete tasks.</w:t>
      </w:r>
    </w:p>
    <w:p>
      <w:pPr>
        <w:pStyle w:val="ListBullet"/>
        <w:spacing w:after="40" w:line="259" w:lineRule="auto"/>
      </w:pPr>
      <w:r>
        <w:t>Parents track progress, receive alerts, and support learners at home.</w:t>
      </w:r>
    </w:p>
    <w:p>
      <w:pPr>
        <w:pStyle w:val="ListBullet"/>
        <w:spacing w:after="40" w:line="259" w:lineRule="auto"/>
      </w:pPr>
      <w:r>
        <w:t>Administrators monitor academics, operations, and finance from one system.</w:t>
      </w:r>
    </w:p>
    <w:p>
      <w:pPr>
        <w:spacing w:before="160" w:after="80"/>
      </w:pPr>
      <w:r>
        <w:rPr>
          <w:b/>
          <w:color w:val="1F4E79"/>
          <w:sz w:val="25"/>
        </w:rPr>
        <w:t>8.3 Term-End Use</w:t>
      </w:r>
    </w:p>
    <w:p>
      <w:pPr>
        <w:spacing w:after="80" w:line="269" w:lineRule="auto"/>
      </w:pPr>
      <w:r>
        <w:t>At the end of a term, institutions can generate academic and financial reports, review exam-readiness summaries, compare performance trends, and share progress with staff and parents efficiently.</w:t>
      </w:r>
    </w:p>
    <w:p>
      <w:pPr>
        <w:spacing w:before="160" w:after="80"/>
      </w:pPr>
      <w:r>
        <w:rPr>
          <w:b/>
          <w:color w:val="1860AB"/>
          <w:sz w:val="32"/>
        </w:rPr>
        <w:t>9. Business Model</w:t>
      </w:r>
    </w:p>
    <w:p>
      <w:pPr>
        <w:pStyle w:val="ListBullet"/>
        <w:spacing w:after="40" w:line="259" w:lineRule="auto"/>
      </w:pPr>
      <w:r>
        <w:t>School subscriptions for institutional use on a termly or annual basis</w:t>
      </w:r>
    </w:p>
    <w:p>
      <w:pPr>
        <w:pStyle w:val="ListBullet"/>
        <w:spacing w:after="40" w:line="259" w:lineRule="auto"/>
      </w:pPr>
      <w:r>
        <w:t>Marketplace commissions from independent teacher sales where applicable</w:t>
      </w:r>
    </w:p>
    <w:p>
      <w:pPr>
        <w:pStyle w:val="ListBullet"/>
        <w:spacing w:after="40" w:line="259" w:lineRule="auto"/>
      </w:pPr>
      <w:r>
        <w:t>Transaction-linked revenue on supported payment flows</w:t>
      </w:r>
    </w:p>
    <w:p>
      <w:pPr>
        <w:pStyle w:val="ListBullet"/>
        <w:spacing w:after="40" w:line="259" w:lineRule="auto"/>
      </w:pPr>
      <w:r>
        <w:t>Premium features such as advanced analytics, AI tools, and priority support</w:t>
      </w:r>
    </w:p>
    <w:p>
      <w:pPr>
        <w:spacing w:before="160" w:after="80"/>
      </w:pPr>
      <w:r>
        <w:rPr>
          <w:b/>
          <w:color w:val="1860AB"/>
          <w:sz w:val="32"/>
        </w:rPr>
        <w:t>10. Market Opportunity</w:t>
      </w:r>
    </w:p>
    <w:p>
      <w:pPr>
        <w:spacing w:after="80" w:line="269" w:lineRule="auto"/>
      </w:pPr>
      <w:r>
        <w:t>The addressable market is significant. Across East Africa, many schools are still in the early stages of digital adoption, while mobile money usage, device access, and the demand for exam support continue to grow. This creates a strong opportunity for a practical and regionally relevant school operating system.</w:t>
      </w:r>
    </w:p>
    <w:p>
      <w:pPr>
        <w:pStyle w:val="ListBullet"/>
        <w:spacing w:after="40" w:line="259" w:lineRule="auto"/>
      </w:pPr>
      <w:r>
        <w:t>Large school base across Uganda, Kenya, and Rwanda</w:t>
      </w:r>
    </w:p>
    <w:p>
      <w:pPr>
        <w:pStyle w:val="ListBullet"/>
        <w:spacing w:after="40" w:line="259" w:lineRule="auto"/>
      </w:pPr>
      <w:r>
        <w:t>Strong need for operational and financial digitisation</w:t>
      </w:r>
    </w:p>
    <w:p>
      <w:pPr>
        <w:pStyle w:val="ListBullet"/>
        <w:spacing w:after="40" w:line="259" w:lineRule="auto"/>
      </w:pPr>
      <w:r>
        <w:t>Growing expectations for parent communication and academic accountability</w:t>
      </w:r>
    </w:p>
    <w:p>
      <w:pPr>
        <w:pStyle w:val="ListBullet"/>
        <w:spacing w:after="40" w:line="259" w:lineRule="auto"/>
      </w:pPr>
      <w:r>
        <w:t>Increasing acceptance of digital learning support inside and outside school</w:t>
      </w:r>
    </w:p>
    <w:p>
      <w:pPr>
        <w:spacing w:before="160" w:after="80"/>
      </w:pPr>
      <w:r>
        <w:rPr>
          <w:b/>
          <w:color w:val="1860AB"/>
          <w:sz w:val="32"/>
        </w:rPr>
        <w:t>11. Current Platform Position</w:t>
      </w:r>
    </w:p>
    <w:p>
      <w:pPr>
        <w:spacing w:after="80" w:line="269" w:lineRule="auto"/>
      </w:pPr>
      <w:r>
        <w:t>Maple Online School has already been designed as a broad and capable school platform with role-based dashboards, curriculum-aware structures, finance and ERP capabilities, teacher productivity features, parent oversight, and exam-readiness support. The immediate opportunity now is live institutional deployment, refinement with real users, and strategic scaling.</w:t>
      </w:r>
    </w:p>
    <w:p>
      <w:pPr>
        <w:spacing w:before="160" w:after="80"/>
      </w:pPr>
      <w:r>
        <w:rPr>
          <w:b/>
          <w:color w:val="1860AB"/>
          <w:sz w:val="32"/>
        </w:rPr>
        <w:t>12. Partnership and Buyer Value</w:t>
      </w:r>
    </w:p>
    <w:p>
      <w:pPr>
        <w:spacing w:after="80" w:line="269" w:lineRule="auto"/>
      </w:pPr>
      <w:r>
        <w:t>A buyer, strategic partner, or deployment institution would not be acquiring a single-purpose school app. They would be engaging with a platform that can function as digital infrastructure for school operations and educational improvement.</w:t>
      </w:r>
    </w:p>
    <w:p>
      <w:pPr>
        <w:pStyle w:val="ListBullet"/>
        <w:spacing w:after="40" w:line="259" w:lineRule="auto"/>
      </w:pPr>
      <w:r>
        <w:t>Improved learner visibility and earlier intervention</w:t>
      </w:r>
    </w:p>
    <w:p>
      <w:pPr>
        <w:pStyle w:val="ListBullet"/>
        <w:spacing w:after="40" w:line="259" w:lineRule="auto"/>
      </w:pPr>
      <w:r>
        <w:t>Stronger parent involvement and communication</w:t>
      </w:r>
    </w:p>
    <w:p>
      <w:pPr>
        <w:pStyle w:val="ListBullet"/>
        <w:spacing w:after="40" w:line="259" w:lineRule="auto"/>
      </w:pPr>
      <w:r>
        <w:t>Better academic and exam-preparedness monitoring</w:t>
      </w:r>
    </w:p>
    <w:p>
      <w:pPr>
        <w:pStyle w:val="ListBullet"/>
        <w:spacing w:after="40" w:line="259" w:lineRule="auto"/>
      </w:pPr>
      <w:r>
        <w:t>Integrated financial discipline and reporting</w:t>
      </w:r>
    </w:p>
    <w:p>
      <w:pPr>
        <w:pStyle w:val="ListBullet"/>
        <w:spacing w:after="40" w:line="259" w:lineRule="auto"/>
      </w:pPr>
      <w:r>
        <w:t>A scalable platform foundation for multi-school deployment</w:t>
      </w:r>
    </w:p>
    <w:p>
      <w:pPr>
        <w:spacing w:before="160" w:after="80"/>
      </w:pPr>
      <w:r>
        <w:rPr>
          <w:b/>
          <w:color w:val="1860AB"/>
          <w:sz w:val="32"/>
        </w:rPr>
        <w:t>13. Partnership Ask</w:t>
      </w:r>
    </w:p>
    <w:p>
      <w:pPr>
        <w:spacing w:after="80" w:line="269" w:lineRule="auto"/>
      </w:pPr>
      <w:r>
        <w:t>Maple Online School is ready for pilot partnerships, institutional deployment discussions, implementation collaborations, and strategic growth conversations. The preferred next step is engagement with schools or education operators that can validate the platform under real-world conditions and support structured rollout.</w:t>
      </w:r>
    </w:p>
    <w:p/>
    <w:tbl>
      <w:tblPr>
        <w:tblW w:type="auto" w:w="0"/>
        <w:jc w:val="center"/>
        <w:tblLook w:firstColumn="1" w:firstRow="1" w:lastColumn="0" w:lastRow="0" w:noHBand="0" w:noVBand="1" w:val="04A0"/>
      </w:tblPr>
      <w:tblGrid>
        <w:gridCol w:w="9936"/>
      </w:tblGrid>
      <w:tr>
        <w:tc>
          <w:tcPr>
            <w:tcW w:type="dxa" w:w="9936"/>
            <w:shd w:fill="1F4E79"/>
          </w:tcPr>
          <w:p>
            <w:pPr>
              <w:jc w:val="center"/>
            </w:pPr>
            <w:r>
              <w:rPr>
                <w:b/>
                <w:color w:val="FFFFFF"/>
                <w:sz w:val="28"/>
              </w:rPr>
              <w:t>Maple Online School - Every student seen. Every school empowered.</w:t>
            </w:r>
          </w:p>
        </w:tc>
      </w:tr>
    </w:tbl>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Maple Online School Concept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