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A13C" w14:textId="12BF0B01" w:rsidR="0058764A" w:rsidRDefault="00B9197A">
      <w:r>
        <w:fldChar w:fldCharType="begin"/>
      </w:r>
      <w:r>
        <w:instrText xml:space="preserve"> HYPERLINK "https://www.securetechalliance.org/resources/pdf/OPACITY_Overview%203.8.pdf" </w:instrText>
      </w:r>
      <w:r>
        <w:fldChar w:fldCharType="separate"/>
      </w:r>
      <w:r w:rsidR="0058764A" w:rsidRPr="00AB44B9">
        <w:rPr>
          <w:rStyle w:val="Hyperlink"/>
        </w:rPr>
        <w:t>https://www.securetechalliance.org/resources/pdf/OPACITY_Overview%203.8.pdf</w:t>
      </w:r>
      <w:r>
        <w:rPr>
          <w:rStyle w:val="Hyperlink"/>
        </w:rPr>
        <w:fldChar w:fldCharType="end"/>
      </w:r>
    </w:p>
    <w:p w14:paraId="4606B927" w14:textId="3377AB2D" w:rsidR="00B929A5" w:rsidRDefault="00F20316">
      <w:r>
        <w:t xml:space="preserve">OPACITY: Open Protocol for Access Control and Ticketing with </w:t>
      </w:r>
      <w:proofErr w:type="spellStart"/>
      <w:r>
        <w:t>PrivacY</w:t>
      </w:r>
      <w:proofErr w:type="spellEnd"/>
    </w:p>
    <w:p w14:paraId="41EB6DDD" w14:textId="1E59021F" w:rsidR="00B9197A" w:rsidRDefault="00B9197A">
      <w:r>
        <w:t>Modification of ECDSA?</w:t>
      </w:r>
    </w:p>
    <w:p w14:paraId="45F2621F" w14:textId="51B9046B" w:rsidR="00F20316" w:rsidRDefault="00F20316">
      <w:r>
        <w:t>Protocol suite for authentication and key agreement optimized for contactless transactions.</w:t>
      </w:r>
    </w:p>
    <w:p w14:paraId="75E7329F" w14:textId="1CB1E9B8" w:rsidR="00F20316" w:rsidRDefault="00F20316">
      <w:r>
        <w:t>NIST</w:t>
      </w:r>
      <w:r w:rsidR="00C50818">
        <w:t xml:space="preserve"> SP</w:t>
      </w:r>
      <w:r>
        <w:t xml:space="preserve"> 800-56A compliant</w:t>
      </w:r>
      <w:r w:rsidR="00C50818">
        <w:t xml:space="preserve">. </w:t>
      </w:r>
    </w:p>
    <w:p w14:paraId="70600B63" w14:textId="19CF2748" w:rsidR="00C50818" w:rsidRDefault="00C50818">
      <w:r>
        <w:t>Only one command/response pair</w:t>
      </w:r>
    </w:p>
    <w:p w14:paraId="14A2781B" w14:textId="1B0F1277" w:rsidR="00C50818" w:rsidRDefault="00C50818">
      <w:r>
        <w:t>Relies on Elliptic Curve Cryptography ECDH/ECDSA, as well as AES and SHA256.</w:t>
      </w:r>
    </w:p>
    <w:p w14:paraId="2C4418A1" w14:textId="0AA85EE5" w:rsidR="000A108D" w:rsidRDefault="000A108D">
      <w:r>
        <w:t>Supports 2 protocols:</w:t>
      </w:r>
    </w:p>
    <w:p w14:paraId="784D2EB6" w14:textId="02D993C9" w:rsidR="000A108D" w:rsidRDefault="000C3CE5" w:rsidP="000A108D">
      <w:pPr>
        <w:pStyle w:val="ListParagraph"/>
        <w:numPr>
          <w:ilvl w:val="0"/>
          <w:numId w:val="1"/>
        </w:numPr>
      </w:pPr>
      <w:r>
        <w:t>Zero Key management (ZKM aka SMAv3), doesn’t require any secrets stored on a terminal.</w:t>
      </w:r>
    </w:p>
    <w:p w14:paraId="70072F7D" w14:textId="548FCC49" w:rsidR="000C3CE5" w:rsidRDefault="000C3CE5" w:rsidP="000A108D">
      <w:pPr>
        <w:pStyle w:val="ListParagraph"/>
        <w:numPr>
          <w:ilvl w:val="0"/>
          <w:numId w:val="1"/>
        </w:numPr>
      </w:pPr>
      <w:r>
        <w:t>Forward Secrecy (FS)</w:t>
      </w:r>
      <w:r w:rsidR="00587BA0">
        <w:t xml:space="preserve"> (or is it Full Secrecy?)</w:t>
      </w:r>
      <w:r>
        <w:t xml:space="preserve"> requires static PKI credential stored on terminal, but enhanced privacy protection</w:t>
      </w:r>
    </w:p>
    <w:p w14:paraId="7C670A60" w14:textId="2DE9FDE5" w:rsidR="000C3CE5" w:rsidRDefault="000C3CE5" w:rsidP="000C3CE5">
      <w:r>
        <w:t>Reference implementation provides Secure Authentication Module (SAM) applet/library. SAM is smartcard device embedder in the terminal. (For storing secrets)</w:t>
      </w:r>
    </w:p>
    <w:p w14:paraId="656FBC39" w14:textId="0440C4E3" w:rsidR="000C3CE5" w:rsidRDefault="000C3CE5" w:rsidP="000C3CE5">
      <w:r>
        <w:t>ZKM doesn’t require a SAM. Only requires root public key of CVC Digital Signatory to be protected by the terminal. (rather than MASTER and private keys). SAM could still be used to store public key.</w:t>
      </w:r>
    </w:p>
    <w:p w14:paraId="43CDDBE8" w14:textId="4C5871FD" w:rsidR="000C3CE5" w:rsidRDefault="000C3CE5" w:rsidP="000C3CE5">
      <w:r>
        <w:t>SAM software library can never exceed fips140-2 level 1. Applet on specialised hardware can reach fips140-2 level 3.</w:t>
      </w:r>
    </w:p>
    <w:p w14:paraId="7819DEAF" w14:textId="52D3FB10" w:rsidR="001A006C" w:rsidRDefault="001A006C" w:rsidP="000C3CE5">
      <w:r>
        <w:t xml:space="preserve">SAM activation: SAM operations protected by an access control rule. Admin operations protected by </w:t>
      </w:r>
      <w:proofErr w:type="spellStart"/>
      <w:r>
        <w:t>GlobalPlatform</w:t>
      </w:r>
      <w:proofErr w:type="spellEnd"/>
      <w:r>
        <w:t xml:space="preserve"> secure channels. Usage is protected by PIN/OPACITY based </w:t>
      </w:r>
      <w:proofErr w:type="spellStart"/>
      <w:r>
        <w:t>auth</w:t>
      </w:r>
      <w:proofErr w:type="spellEnd"/>
      <w:r>
        <w:t xml:space="preserve"> by control panel to SAM. Policy-based deactivation of SAM makes it lose its state.</w:t>
      </w:r>
    </w:p>
    <w:p w14:paraId="1B92CDD3" w14:textId="7112507E" w:rsidR="000C3CE5" w:rsidRDefault="000C3CE5" w:rsidP="000C3CE5">
      <w:r>
        <w:t>Go with ZKM.</w:t>
      </w:r>
    </w:p>
    <w:p w14:paraId="66A6DD25" w14:textId="444E8686" w:rsidR="000C3CE5" w:rsidRDefault="001A006C" w:rsidP="000C3CE5">
      <w:r>
        <w:t>Persistent Binding: pre-session keys cached by User applet and Terminal applet, allows for faster transactions for that user card next time.</w:t>
      </w:r>
    </w:p>
    <w:p w14:paraId="20D2D8DA" w14:textId="38F43209" w:rsidR="00F20316" w:rsidRDefault="002F4B04">
      <w:r>
        <w:rPr>
          <w:noProof/>
        </w:rPr>
        <w:drawing>
          <wp:inline distT="0" distB="0" distL="0" distR="0" wp14:anchorId="6735D999" wp14:editId="597AC738">
            <wp:extent cx="4067175" cy="29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1728" cy="2926308"/>
                    </a:xfrm>
                    <a:prstGeom prst="rect">
                      <a:avLst/>
                    </a:prstGeom>
                  </pic:spPr>
                </pic:pic>
              </a:graphicData>
            </a:graphic>
          </wp:inline>
        </w:drawing>
      </w:r>
    </w:p>
    <w:p w14:paraId="0B3043A3" w14:textId="2B9CFDAA" w:rsidR="00587BA0" w:rsidRDefault="00587BA0">
      <w:r>
        <w:lastRenderedPageBreak/>
        <w:t xml:space="preserve">Result of joint effort by HID global and the US DoD. </w:t>
      </w:r>
    </w:p>
    <w:p w14:paraId="40BC20E0" w14:textId="2C088D28" w:rsidR="00587BA0" w:rsidRDefault="00587BA0">
      <w:r>
        <w:t>Full secrecy – ensure identity of cardholder is not compromised. Many readers (esp. old readers) can’t contain secrets, don’t have dedicated security module.</w:t>
      </w:r>
    </w:p>
    <w:p w14:paraId="5F1C126B" w14:textId="2CBDE6F7" w:rsidR="00DE4D06" w:rsidRDefault="00DE4D06">
      <w:r>
        <w:t>ZKM provides card authentication but not terminal authentication and should only be used where terminals are known and trusted.</w:t>
      </w:r>
      <w:r w:rsidR="006265D3">
        <w:t xml:space="preserve"> Do any/all Cambridge terminals not have a SAM?</w:t>
      </w:r>
    </w:p>
    <w:p w14:paraId="0C52650E" w14:textId="2155A005" w:rsidR="006265D3" w:rsidRDefault="006265D3">
      <w:r>
        <w:t xml:space="preserve">Opacity protocols are a single command-response transaction. (What would generic EC </w:t>
      </w:r>
      <w:proofErr w:type="spellStart"/>
      <w:r>
        <w:t>algo</w:t>
      </w:r>
      <w:proofErr w:type="spellEnd"/>
      <w:r>
        <w:t xml:space="preserve"> look like?)</w:t>
      </w:r>
    </w:p>
    <w:p w14:paraId="30939CA2" w14:textId="0E79CA94" w:rsidR="00CA1EFA" w:rsidRDefault="004B2679" w:rsidP="004B2679">
      <w:r>
        <w:t xml:space="preserve">OPACITY keys not strictly defined. Assumed they are unique authentication keys likely generated on the ICC and never shared. </w:t>
      </w:r>
    </w:p>
    <w:p w14:paraId="75A4D393" w14:textId="24390FFD" w:rsidR="0058764A" w:rsidRDefault="000E37D4">
      <w:r>
        <w:t>ZKM is mainly an ICC internal authentication protocol and key agreement using EC cryptography.</w:t>
      </w:r>
    </w:p>
    <w:p w14:paraId="0D156FFB" w14:textId="62C9DCD3" w:rsidR="000E37D4" w:rsidRDefault="000E37D4">
      <w:r>
        <w:t xml:space="preserve">Key agreement: </w:t>
      </w:r>
    </w:p>
    <w:p w14:paraId="7529635D" w14:textId="3957519A" w:rsidR="000E37D4" w:rsidRDefault="000E37D4" w:rsidP="000E37D4">
      <w:pPr>
        <w:pStyle w:val="ListParagraph"/>
        <w:numPr>
          <w:ilvl w:val="0"/>
          <w:numId w:val="5"/>
        </w:numPr>
      </w:pPr>
      <w:r>
        <w:t>Key establishment prerequisite must be executed on both sides prior to executing the protocol. Each party has copy of same set of domain parameters and obtain assurance of these parameters.</w:t>
      </w:r>
    </w:p>
    <w:p w14:paraId="65E248F3" w14:textId="3978245D" w:rsidR="000E37D4" w:rsidRDefault="000E37D4" w:rsidP="000E37D4">
      <w:pPr>
        <w:pStyle w:val="ListParagraph"/>
        <w:numPr>
          <w:ilvl w:val="0"/>
          <w:numId w:val="5"/>
        </w:numPr>
      </w:pPr>
      <w:r>
        <w:t xml:space="preserve">Prerequisites for </w:t>
      </w:r>
      <w:proofErr w:type="gramStart"/>
      <w:r>
        <w:t>C(</w:t>
      </w:r>
      <w:proofErr w:type="gramEnd"/>
      <w:r>
        <w:t>1,1) ECC CDH mode applied. Requirements of one pass Diffie-Hellman must be applied.</w:t>
      </w:r>
    </w:p>
    <w:p w14:paraId="5117C785" w14:textId="5E171F3F" w:rsidR="000E37D4" w:rsidRDefault="000E37D4" w:rsidP="000E37D4">
      <w:pPr>
        <w:pStyle w:val="ListParagraph"/>
        <w:numPr>
          <w:ilvl w:val="0"/>
          <w:numId w:val="5"/>
        </w:numPr>
      </w:pPr>
      <w:r>
        <w:t>Key derivation function is concatenation of KDF, specified in NIST SP800-56A 5.8.1.</w:t>
      </w:r>
    </w:p>
    <w:p w14:paraId="3816A6E7" w14:textId="17E1A9C8" w:rsidR="000E37D4" w:rsidRDefault="000E37D4" w:rsidP="000E37D4">
      <w:pPr>
        <w:pStyle w:val="ListParagraph"/>
        <w:numPr>
          <w:ilvl w:val="0"/>
          <w:numId w:val="5"/>
        </w:numPr>
      </w:pPr>
      <w:r>
        <w:t>Key conf</w:t>
      </w:r>
      <w:r w:rsidR="00623F47">
        <w:t>irmation follows NIST SP 800-56A</w:t>
      </w:r>
      <w:r>
        <w:t xml:space="preserve"> 8.4.9</w:t>
      </w:r>
    </w:p>
    <w:p w14:paraId="44305AAB" w14:textId="37552F34" w:rsidR="000E37D4" w:rsidRDefault="00623F47">
      <w:r>
        <w:t>Initial host state:</w:t>
      </w:r>
    </w:p>
    <w:p w14:paraId="5A00AFC9" w14:textId="1E0334D7" w:rsidR="00623F47" w:rsidRDefault="00623F47" w:rsidP="00623F47">
      <w:pPr>
        <w:pStyle w:val="ListParagraph"/>
        <w:numPr>
          <w:ilvl w:val="0"/>
          <w:numId w:val="6"/>
        </w:numPr>
      </w:pPr>
      <w:r>
        <w:t>Client app on host that can implement crypto functions.</w:t>
      </w:r>
    </w:p>
    <w:p w14:paraId="7C0ECB62" w14:textId="76388179" w:rsidR="00623F47" w:rsidRDefault="00623F47" w:rsidP="00623F47">
      <w:pPr>
        <w:pStyle w:val="ListParagraph"/>
        <w:numPr>
          <w:ilvl w:val="0"/>
          <w:numId w:val="6"/>
        </w:numPr>
      </w:pPr>
      <w:r>
        <w:t>Access to registry of host-ICC pairing records to support persistent binding capability. Each record includes ICC record identifier (key) and one-time shared secret valid for next communication.</w:t>
      </w:r>
    </w:p>
    <w:p w14:paraId="70CBEF1F" w14:textId="2157B296" w:rsidR="006E338D" w:rsidRDefault="006E338D" w:rsidP="00623F47">
      <w:pPr>
        <w:pStyle w:val="ListParagraph"/>
        <w:numPr>
          <w:ilvl w:val="0"/>
          <w:numId w:val="6"/>
        </w:numPr>
      </w:pPr>
      <w:r>
        <w:t xml:space="preserve">If </w:t>
      </w:r>
      <w:proofErr w:type="spellStart"/>
      <w:r>
        <w:t>auth</w:t>
      </w:r>
      <w:proofErr w:type="spellEnd"/>
      <w:r>
        <w:t xml:space="preserve"> settings are variable, client ensures </w:t>
      </w:r>
      <w:proofErr w:type="spellStart"/>
      <w:r>
        <w:t>auth</w:t>
      </w:r>
      <w:proofErr w:type="spellEnd"/>
      <w:r>
        <w:t xml:space="preserve"> method and parameters are set.</w:t>
      </w:r>
    </w:p>
    <w:p w14:paraId="7DBC6206" w14:textId="3C6AE59B" w:rsidR="00623F47" w:rsidRDefault="00623F47" w:rsidP="00623F47">
      <w:pPr>
        <w:pStyle w:val="ListParagraph"/>
        <w:numPr>
          <w:ilvl w:val="0"/>
          <w:numId w:val="6"/>
        </w:numPr>
      </w:pPr>
      <w:r>
        <w:t>Etc.</w:t>
      </w:r>
    </w:p>
    <w:p w14:paraId="6BF73F3A" w14:textId="71CE727E" w:rsidR="006E338D" w:rsidRDefault="006E338D" w:rsidP="006E338D">
      <w:r>
        <w:t>Initial ICC state:</w:t>
      </w:r>
    </w:p>
    <w:p w14:paraId="180B3DBE" w14:textId="33C8655B" w:rsidR="006E338D" w:rsidRDefault="006E338D" w:rsidP="006E338D">
      <w:pPr>
        <w:pStyle w:val="ListParagraph"/>
        <w:numPr>
          <w:ilvl w:val="0"/>
          <w:numId w:val="7"/>
        </w:numPr>
      </w:pPr>
      <w:r>
        <w:t>CVC root public key for on-card verification of client CVC. May be determined by client ID number.</w:t>
      </w:r>
    </w:p>
    <w:p w14:paraId="29E51EC4" w14:textId="5DDD13C7" w:rsidR="006E338D" w:rsidRDefault="006E338D" w:rsidP="006E338D">
      <w:pPr>
        <w:pStyle w:val="ListParagraph"/>
        <w:numPr>
          <w:ilvl w:val="0"/>
          <w:numId w:val="7"/>
        </w:numPr>
      </w:pPr>
      <w:r>
        <w:t>Access to registry of host pairing records needed for persistent binding. Includes host ID, one-time ICC ID used last session, and one-time secret valid for next session.</w:t>
      </w:r>
    </w:p>
    <w:p w14:paraId="054CAF03" w14:textId="5DECCC9F" w:rsidR="006E338D" w:rsidRDefault="006E338D" w:rsidP="006E338D">
      <w:pPr>
        <w:pStyle w:val="ListParagraph"/>
        <w:numPr>
          <w:ilvl w:val="0"/>
          <w:numId w:val="7"/>
        </w:numPr>
      </w:pPr>
      <w:r>
        <w:t xml:space="preserve">Access to card </w:t>
      </w:r>
      <w:proofErr w:type="spellStart"/>
      <w:r>
        <w:t>auth</w:t>
      </w:r>
      <w:proofErr w:type="spellEnd"/>
      <w:r>
        <w:t xml:space="preserve"> key, card CVC</w:t>
      </w:r>
    </w:p>
    <w:p w14:paraId="6072DCC8" w14:textId="562C22B6" w:rsidR="006E338D" w:rsidRDefault="006E338D" w:rsidP="006E338D">
      <w:pPr>
        <w:pStyle w:val="ListParagraph"/>
        <w:numPr>
          <w:ilvl w:val="0"/>
          <w:numId w:val="7"/>
        </w:numPr>
      </w:pPr>
      <w:r>
        <w:t>Execute establishment preparations prior to launching protocol defined in NIST 800-56A figure 1</w:t>
      </w:r>
    </w:p>
    <w:p w14:paraId="0A17AB97" w14:textId="0D79FF87" w:rsidR="007C3D65" w:rsidRPr="007C3D65" w:rsidRDefault="007C3D65" w:rsidP="007C3D65">
      <w:pPr>
        <w:rPr>
          <w:sz w:val="28"/>
        </w:rPr>
      </w:pPr>
      <w:r w:rsidRPr="007C3D65">
        <w:rPr>
          <w:sz w:val="28"/>
        </w:rPr>
        <w:t>Protocol:</w:t>
      </w:r>
    </w:p>
    <w:p w14:paraId="38150E0B" w14:textId="6F80ACFD" w:rsidR="006E338D" w:rsidRDefault="006E338D" w:rsidP="006E338D">
      <w:r>
        <w:t>Base protocol client-side:</w:t>
      </w:r>
    </w:p>
    <w:p w14:paraId="412840B8" w14:textId="72C567BF" w:rsidR="006E338D" w:rsidRDefault="006E338D" w:rsidP="006E338D">
      <w:pPr>
        <w:pStyle w:val="ListParagraph"/>
        <w:numPr>
          <w:ilvl w:val="0"/>
          <w:numId w:val="8"/>
        </w:numPr>
      </w:pPr>
      <w:r>
        <w:t>Generate ephemeral key pair. SAM does GEN_KEY_PAIR(</w:t>
      </w:r>
      <w:proofErr w:type="spellStart"/>
      <w:proofErr w:type="gramStart"/>
      <w:r>
        <w:t>D</w:t>
      </w:r>
      <w:r>
        <w:rPr>
          <w:vertAlign w:val="subscript"/>
        </w:rPr>
        <w:t>eH</w:t>
      </w:r>
      <w:r>
        <w:t>;Q</w:t>
      </w:r>
      <w:r>
        <w:rPr>
          <w:vertAlign w:val="subscript"/>
        </w:rPr>
        <w:t>eH</w:t>
      </w:r>
      <w:proofErr w:type="spellEnd"/>
      <w:proofErr w:type="gramEnd"/>
      <w:r>
        <w:t xml:space="preserve">), returns </w:t>
      </w:r>
      <w:proofErr w:type="spellStart"/>
      <w:r>
        <w:t>Q</w:t>
      </w:r>
      <w:r>
        <w:rPr>
          <w:vertAlign w:val="subscript"/>
        </w:rPr>
        <w:t>eH</w:t>
      </w:r>
      <w:proofErr w:type="spellEnd"/>
      <w:r>
        <w:t>.</w:t>
      </w:r>
      <w:r w:rsidR="005B0F92">
        <w:t xml:space="preserve"> Ephemeral means only used for this session.</w:t>
      </w:r>
      <w:r w:rsidR="00B25592">
        <w:t xml:space="preserve"> Do this via elliptic curve crypto.</w:t>
      </w:r>
    </w:p>
    <w:p w14:paraId="0C13E535" w14:textId="101D7C09" w:rsidR="007C3D65" w:rsidRDefault="007C3D65" w:rsidP="006E338D">
      <w:pPr>
        <w:pStyle w:val="ListParagraph"/>
        <w:numPr>
          <w:ilvl w:val="0"/>
          <w:numId w:val="8"/>
        </w:numPr>
      </w:pPr>
      <w:r>
        <w:t xml:space="preserve">Send ICC </w:t>
      </w:r>
      <w:proofErr w:type="spellStart"/>
      <w:r>
        <w:t>auth</w:t>
      </w:r>
      <w:proofErr w:type="spellEnd"/>
      <w:r>
        <w:t xml:space="preserve"> request </w:t>
      </w:r>
      <w:proofErr w:type="spellStart"/>
      <w:r>
        <w:t>ID</w:t>
      </w:r>
      <w:r>
        <w:rPr>
          <w:vertAlign w:val="subscript"/>
        </w:rPr>
        <w:t>sH</w:t>
      </w:r>
      <w:proofErr w:type="spellEnd"/>
      <w:r>
        <w:t>||</w:t>
      </w:r>
      <w:proofErr w:type="spellStart"/>
      <w:r>
        <w:t>Q</w:t>
      </w:r>
      <w:r>
        <w:rPr>
          <w:vertAlign w:val="subscript"/>
        </w:rPr>
        <w:t>eH</w:t>
      </w:r>
      <w:proofErr w:type="spellEnd"/>
      <w:r>
        <w:t>.</w:t>
      </w:r>
    </w:p>
    <w:p w14:paraId="3F9FD6B0" w14:textId="1F2DE615" w:rsidR="007C3D65" w:rsidRDefault="007C3D65" w:rsidP="006E338D">
      <w:r>
        <w:t>ICC:</w:t>
      </w:r>
    </w:p>
    <w:p w14:paraId="3EE084B4" w14:textId="51CDF7C6" w:rsidR="007C3D65" w:rsidRDefault="007C3D65" w:rsidP="007C3D65">
      <w:pPr>
        <w:pStyle w:val="ListParagraph"/>
        <w:numPr>
          <w:ilvl w:val="0"/>
          <w:numId w:val="9"/>
        </w:numPr>
      </w:pPr>
      <w:proofErr w:type="spellStart"/>
      <w:r>
        <w:lastRenderedPageBreak/>
        <w:t>ID</w:t>
      </w:r>
      <w:r>
        <w:rPr>
          <w:vertAlign w:val="subscript"/>
        </w:rPr>
        <w:t>sC</w:t>
      </w:r>
      <w:proofErr w:type="spellEnd"/>
      <w:r>
        <w:t xml:space="preserve"> = T</w:t>
      </w:r>
      <w:r>
        <w:rPr>
          <w:vertAlign w:val="subscript"/>
        </w:rPr>
        <w:t>8</w:t>
      </w:r>
      <w:r>
        <w:t>(HASH(C</w:t>
      </w:r>
      <w:r>
        <w:rPr>
          <w:vertAlign w:val="subscript"/>
        </w:rPr>
        <w:t>C</w:t>
      </w:r>
      <w:r>
        <w:t>)) (may already be computed)</w:t>
      </w:r>
    </w:p>
    <w:p w14:paraId="65A73FDE" w14:textId="5C2CB931" w:rsidR="007C3D65" w:rsidRDefault="007C3D65" w:rsidP="007C3D65">
      <w:pPr>
        <w:pStyle w:val="ListParagraph"/>
        <w:numPr>
          <w:ilvl w:val="0"/>
          <w:numId w:val="9"/>
        </w:numPr>
      </w:pPr>
      <w:r>
        <w:t xml:space="preserve">Validate </w:t>
      </w:r>
      <w:proofErr w:type="spellStart"/>
      <w:r>
        <w:t>Q</w:t>
      </w:r>
      <w:r>
        <w:rPr>
          <w:vertAlign w:val="subscript"/>
        </w:rPr>
        <w:t>eH</w:t>
      </w:r>
      <w:proofErr w:type="spellEnd"/>
      <w:r>
        <w:t xml:space="preserve"> belongs to EC domain.</w:t>
      </w:r>
    </w:p>
    <w:p w14:paraId="3AC96691" w14:textId="2AF6BC60" w:rsidR="007C3D65" w:rsidRDefault="007C3D65" w:rsidP="007C3D65">
      <w:pPr>
        <w:pStyle w:val="ListParagraph"/>
        <w:numPr>
          <w:ilvl w:val="0"/>
          <w:numId w:val="9"/>
        </w:numPr>
      </w:pPr>
      <w:r>
        <w:t>Z = EC_DH(</w:t>
      </w:r>
      <w:proofErr w:type="spellStart"/>
      <w:proofErr w:type="gramStart"/>
      <w:r>
        <w:t>d</w:t>
      </w:r>
      <w:r>
        <w:rPr>
          <w:vertAlign w:val="subscript"/>
        </w:rPr>
        <w:t>C</w:t>
      </w:r>
      <w:r>
        <w:t>;Q</w:t>
      </w:r>
      <w:r>
        <w:rPr>
          <w:vertAlign w:val="subscript"/>
        </w:rPr>
        <w:t>eH</w:t>
      </w:r>
      <w:proofErr w:type="spellEnd"/>
      <w:proofErr w:type="gramEnd"/>
      <w:r>
        <w:t>)</w:t>
      </w:r>
    </w:p>
    <w:p w14:paraId="56A58784" w14:textId="01A626CF" w:rsidR="007C3D65" w:rsidRDefault="007C3D65" w:rsidP="007C3D65">
      <w:pPr>
        <w:pStyle w:val="ListParagraph"/>
        <w:numPr>
          <w:ilvl w:val="0"/>
          <w:numId w:val="9"/>
        </w:numPr>
      </w:pPr>
      <w:r>
        <w:t>Generate nonce N</w:t>
      </w:r>
      <w:r>
        <w:rPr>
          <w:vertAlign w:val="subscript"/>
        </w:rPr>
        <w:t>C</w:t>
      </w:r>
      <w:r>
        <w:t>.</w:t>
      </w:r>
    </w:p>
    <w:p w14:paraId="5E2B784A" w14:textId="525247AF" w:rsidR="007C3D65" w:rsidRDefault="007C3D65" w:rsidP="007C3D65">
      <w:pPr>
        <w:pStyle w:val="ListParagraph"/>
        <w:numPr>
          <w:ilvl w:val="0"/>
          <w:numId w:val="9"/>
        </w:numPr>
      </w:pPr>
      <w:r>
        <w:t>SK</w:t>
      </w:r>
      <w:r>
        <w:rPr>
          <w:vertAlign w:val="subscript"/>
        </w:rPr>
        <w:t>CFRM</w:t>
      </w:r>
      <w:r>
        <w:t>||SK</w:t>
      </w:r>
      <w:r>
        <w:rPr>
          <w:vertAlign w:val="subscript"/>
        </w:rPr>
        <w:t>MAC</w:t>
      </w:r>
      <w:r>
        <w:t>||SK</w:t>
      </w:r>
      <w:r>
        <w:rPr>
          <w:vertAlign w:val="subscript"/>
        </w:rPr>
        <w:t>ENC</w:t>
      </w:r>
      <w:r>
        <w:t>||SK</w:t>
      </w:r>
      <w:r>
        <w:rPr>
          <w:vertAlign w:val="subscript"/>
        </w:rPr>
        <w:t>RMAC</w:t>
      </w:r>
      <w:r>
        <w:t>||</w:t>
      </w:r>
      <w:proofErr w:type="spellStart"/>
      <w:r>
        <w:t>NextZ</w:t>
      </w:r>
      <w:proofErr w:type="spellEnd"/>
      <w:r>
        <w:t xml:space="preserve"> = </w:t>
      </w:r>
      <w:proofErr w:type="gramStart"/>
      <w:r>
        <w:t>KDF(</w:t>
      </w:r>
      <w:proofErr w:type="gramEnd"/>
      <w:r>
        <w:t xml:space="preserve">Z, </w:t>
      </w:r>
      <w:proofErr w:type="spellStart"/>
      <w:r>
        <w:t>len</w:t>
      </w:r>
      <w:proofErr w:type="spellEnd"/>
      <w:r>
        <w:t>, info(</w:t>
      </w:r>
      <w:proofErr w:type="spellStart"/>
      <w:r>
        <w:t>ID</w:t>
      </w:r>
      <w:r>
        <w:rPr>
          <w:vertAlign w:val="subscript"/>
        </w:rPr>
        <w:t>sC</w:t>
      </w:r>
      <w:proofErr w:type="spellEnd"/>
      <w:r>
        <w:t xml:space="preserve">, </w:t>
      </w:r>
      <w:proofErr w:type="spellStart"/>
      <w:r>
        <w:t>ID</w:t>
      </w:r>
      <w:r>
        <w:rPr>
          <w:vertAlign w:val="subscript"/>
        </w:rPr>
        <w:t>sH</w:t>
      </w:r>
      <w:proofErr w:type="spellEnd"/>
      <w:r>
        <w:t>, T</w:t>
      </w:r>
      <w:r>
        <w:rPr>
          <w:vertAlign w:val="subscript"/>
        </w:rPr>
        <w:t>16</w:t>
      </w:r>
      <w:r>
        <w:t>(</w:t>
      </w:r>
      <w:proofErr w:type="spellStart"/>
      <w:r>
        <w:t>Q</w:t>
      </w:r>
      <w:r>
        <w:rPr>
          <w:vertAlign w:val="subscript"/>
        </w:rPr>
        <w:t>eH</w:t>
      </w:r>
      <w:proofErr w:type="spellEnd"/>
      <w:r>
        <w:t>), N</w:t>
      </w:r>
      <w:r>
        <w:rPr>
          <w:vertAlign w:val="subscript"/>
        </w:rPr>
        <w:t>C</w:t>
      </w:r>
      <w:r>
        <w:t>))</w:t>
      </w:r>
    </w:p>
    <w:p w14:paraId="3994DFFD" w14:textId="282AE676" w:rsidR="007C3D65" w:rsidRDefault="007C3D65" w:rsidP="007C3D65">
      <w:pPr>
        <w:pStyle w:val="ListParagraph"/>
        <w:numPr>
          <w:ilvl w:val="0"/>
          <w:numId w:val="9"/>
        </w:numPr>
      </w:pPr>
      <w:proofErr w:type="spellStart"/>
      <w:r>
        <w:t>Zeroize</w:t>
      </w:r>
      <w:proofErr w:type="spellEnd"/>
      <w:r>
        <w:t xml:space="preserve"> Z. (?)</w:t>
      </w:r>
    </w:p>
    <w:p w14:paraId="10D7F571" w14:textId="057EEE2B" w:rsidR="007C3D65" w:rsidRDefault="007C3D65" w:rsidP="007C3D65">
      <w:pPr>
        <w:pStyle w:val="ListParagraph"/>
        <w:numPr>
          <w:ilvl w:val="0"/>
          <w:numId w:val="9"/>
        </w:numPr>
      </w:pPr>
      <w:r>
        <w:t>Etc, not going to copy entire thing. Page 31 of OPACITY spec.</w:t>
      </w:r>
    </w:p>
    <w:p w14:paraId="7183A835" w14:textId="77777777" w:rsidR="007C3D65" w:rsidRDefault="007C3D65" w:rsidP="007C3D65">
      <w:pPr>
        <w:pStyle w:val="ListParagraph"/>
        <w:numPr>
          <w:ilvl w:val="0"/>
          <w:numId w:val="9"/>
        </w:numPr>
      </w:pPr>
    </w:p>
    <w:p w14:paraId="6A9F7BFD" w14:textId="32554881" w:rsidR="007C3D65" w:rsidRDefault="00FB396F" w:rsidP="006E338D">
      <w:r>
        <w:t xml:space="preserve">Found python </w:t>
      </w:r>
      <w:proofErr w:type="spellStart"/>
      <w:r>
        <w:t>ecdsa</w:t>
      </w:r>
      <w:proofErr w:type="spellEnd"/>
      <w:r>
        <w:t xml:space="preserve"> package</w:t>
      </w:r>
      <w:r w:rsidR="00ED6CE3">
        <w:t xml:space="preserve">. Should I </w:t>
      </w:r>
      <w:proofErr w:type="gramStart"/>
      <w:r w:rsidR="00ED6CE3">
        <w:t>look into</w:t>
      </w:r>
      <w:proofErr w:type="gramEnd"/>
      <w:r w:rsidR="00ED6CE3">
        <w:t xml:space="preserve"> </w:t>
      </w:r>
      <w:proofErr w:type="spellStart"/>
      <w:r w:rsidR="00ED6CE3">
        <w:t>fastecdsa</w:t>
      </w:r>
      <w:proofErr w:type="spellEnd"/>
      <w:r w:rsidR="00ED6CE3">
        <w:t xml:space="preserve">? Potentially </w:t>
      </w:r>
      <w:r w:rsidR="004F6140">
        <w:t>25x faster but appears to use Unix-specific library</w:t>
      </w:r>
      <w:r w:rsidR="001218EE">
        <w:t xml:space="preserve"> so maybe can’t have it on Windows. C++ implementation about 30-40x faster than </w:t>
      </w:r>
      <w:proofErr w:type="spellStart"/>
      <w:r w:rsidR="001218EE">
        <w:t>ecdsa</w:t>
      </w:r>
      <w:proofErr w:type="spellEnd"/>
      <w:r w:rsidR="001218EE">
        <w:t xml:space="preserve">. </w:t>
      </w:r>
      <w:proofErr w:type="gramStart"/>
      <w:r w:rsidR="001218EE">
        <w:t>Look into</w:t>
      </w:r>
      <w:proofErr w:type="gramEnd"/>
      <w:r w:rsidR="001218EE">
        <w:t xml:space="preserve"> optimisation as optional extension.</w:t>
      </w:r>
    </w:p>
    <w:p w14:paraId="6ACEF244" w14:textId="2AE9596F" w:rsidR="00ED6CE3" w:rsidRDefault="00ED6CE3" w:rsidP="006E338D">
      <w:r>
        <w:t>DSA faster to sign, slower to verify than RSA. Good because card does signing. (True?)</w:t>
      </w:r>
    </w:p>
    <w:p w14:paraId="5A1E9204" w14:textId="26000AA8" w:rsidR="00B25592" w:rsidRDefault="00B25592" w:rsidP="006E338D">
      <w:r>
        <w:t>Note: talk about quantum computing implications for this (and other) algorithms.</w:t>
      </w:r>
    </w:p>
    <w:p w14:paraId="6AA5A605" w14:textId="11C12FA7" w:rsidR="00515734" w:rsidRDefault="00515734" w:rsidP="006E338D">
      <w:r>
        <w:t xml:space="preserve">Use ECDSA 256, SHA 256, AES 128, </w:t>
      </w:r>
      <w:r w:rsidR="00311E1F">
        <w:t xml:space="preserve">16B </w:t>
      </w:r>
      <w:proofErr w:type="spellStart"/>
      <w:r w:rsidR="00311E1F">
        <w:t>nonces</w:t>
      </w:r>
      <w:proofErr w:type="spellEnd"/>
      <w:r w:rsidR="00311E1F">
        <w:t>.</w:t>
      </w:r>
    </w:p>
    <w:p w14:paraId="049994A2" w14:textId="64143811" w:rsidR="007F4B4C" w:rsidRDefault="007F4B4C" w:rsidP="006E338D">
      <w:proofErr w:type="spellStart"/>
      <w:r>
        <w:t>C_icc</w:t>
      </w:r>
      <w:proofErr w:type="spellEnd"/>
      <w:r>
        <w:t xml:space="preserve"> format from annex B opacity spec:</w:t>
      </w:r>
    </w:p>
    <w:p w14:paraId="1339DBE0" w14:textId="05A43E6B" w:rsidR="007F4B4C" w:rsidRDefault="007F4B4C" w:rsidP="007F4B4C">
      <w:pPr>
        <w:pStyle w:val="ListParagraph"/>
        <w:numPr>
          <w:ilvl w:val="0"/>
          <w:numId w:val="11"/>
        </w:numPr>
      </w:pPr>
      <w:r>
        <w:t>1B Credential Profile Identifier = 0x80</w:t>
      </w:r>
    </w:p>
    <w:p w14:paraId="08FB40C7" w14:textId="49F9D36E" w:rsidR="007F4B4C" w:rsidRDefault="007F4B4C" w:rsidP="007F4B4C">
      <w:pPr>
        <w:pStyle w:val="ListParagraph"/>
        <w:numPr>
          <w:ilvl w:val="0"/>
          <w:numId w:val="11"/>
        </w:numPr>
      </w:pPr>
      <w:r>
        <w:t xml:space="preserve">8B Certificate issuer identification number = </w:t>
      </w:r>
      <w:proofErr w:type="spellStart"/>
      <w:r>
        <w:t>IssuerID</w:t>
      </w:r>
      <w:proofErr w:type="spellEnd"/>
      <w:r>
        <w:t xml:space="preserve"> (6B) || </w:t>
      </w:r>
      <w:proofErr w:type="spellStart"/>
      <w:r>
        <w:t>IssuerKeyID</w:t>
      </w:r>
      <w:proofErr w:type="spellEnd"/>
      <w:r>
        <w:t xml:space="preserve"> (2B). </w:t>
      </w:r>
      <w:proofErr w:type="spellStart"/>
      <w:r>
        <w:t>IssuerID</w:t>
      </w:r>
      <w:proofErr w:type="spellEnd"/>
      <w:r>
        <w:t xml:space="preserve"> a set number e.g. 6B of hash of name. </w:t>
      </w:r>
      <w:proofErr w:type="spellStart"/>
      <w:r>
        <w:t>keyID</w:t>
      </w:r>
      <w:proofErr w:type="spellEnd"/>
      <w:r>
        <w:t xml:space="preserve"> is signature verification public key number.</w:t>
      </w:r>
    </w:p>
    <w:p w14:paraId="134D11B9" w14:textId="6F238A7A" w:rsidR="007F4B4C" w:rsidRDefault="007F4B4C" w:rsidP="007F4B4C">
      <w:pPr>
        <w:pStyle w:val="ListParagraph"/>
        <w:numPr>
          <w:ilvl w:val="0"/>
          <w:numId w:val="11"/>
        </w:numPr>
      </w:pPr>
      <w:r>
        <w:t>L1 &lt;= 10B Globally Unique Identifier. Application specific, identify card/cardholder.</w:t>
      </w:r>
    </w:p>
    <w:p w14:paraId="1B19E1DE" w14:textId="65807B35" w:rsidR="007F4B4C" w:rsidRDefault="007F4B4C" w:rsidP="007F4B4C">
      <w:pPr>
        <w:pStyle w:val="ListParagraph"/>
        <w:numPr>
          <w:ilvl w:val="0"/>
          <w:numId w:val="11"/>
        </w:numPr>
      </w:pPr>
      <w:r>
        <w:t xml:space="preserve">L2 </w:t>
      </w:r>
      <w:proofErr w:type="spellStart"/>
      <w:r>
        <w:t>CardHolderPublicKey</w:t>
      </w:r>
      <w:proofErr w:type="spellEnd"/>
      <w:r>
        <w:t xml:space="preserve">. </w:t>
      </w:r>
      <w:r w:rsidR="00311E1F">
        <w:t xml:space="preserve">76B total (2+8+2+65) </w:t>
      </w:r>
      <w:r>
        <w:t>6B object identifier of algorithm, see annex for possible values. 86B public key encoded as 04||X||Y where (</w:t>
      </w:r>
      <w:proofErr w:type="gramStart"/>
      <w:r>
        <w:t>X,Y</w:t>
      </w:r>
      <w:proofErr w:type="gramEnd"/>
      <w:r>
        <w:t>) are coordinates on curve.</w:t>
      </w:r>
    </w:p>
    <w:p w14:paraId="12F2FB3A" w14:textId="7A2788E4" w:rsidR="00533908" w:rsidRDefault="00533908" w:rsidP="007F4B4C">
      <w:pPr>
        <w:pStyle w:val="ListParagraph"/>
        <w:numPr>
          <w:ilvl w:val="0"/>
          <w:numId w:val="11"/>
        </w:numPr>
      </w:pPr>
      <w:r>
        <w:t xml:space="preserve">L3 </w:t>
      </w:r>
      <w:proofErr w:type="spellStart"/>
      <w:r>
        <w:t>DigitalSignature</w:t>
      </w:r>
      <w:proofErr w:type="spellEnd"/>
    </w:p>
    <w:p w14:paraId="59BB8AF0" w14:textId="6070CCB5" w:rsidR="00533908" w:rsidRDefault="00533908" w:rsidP="007F4B4C">
      <w:pPr>
        <w:pStyle w:val="ListParagraph"/>
        <w:numPr>
          <w:ilvl w:val="0"/>
          <w:numId w:val="11"/>
        </w:numPr>
      </w:pPr>
      <w:r>
        <w:t xml:space="preserve">1B </w:t>
      </w:r>
      <w:proofErr w:type="spellStart"/>
      <w:r>
        <w:t>RoleIdentifier</w:t>
      </w:r>
      <w:proofErr w:type="spellEnd"/>
      <w:r>
        <w:t>. Type of key this is.</w:t>
      </w:r>
    </w:p>
    <w:p w14:paraId="06CC49B5" w14:textId="66346830" w:rsidR="00817D72" w:rsidRDefault="00817D72" w:rsidP="006E338D"/>
    <w:p w14:paraId="594841AB" w14:textId="77777777" w:rsidR="00DB15DC" w:rsidRDefault="00817D72" w:rsidP="006E338D">
      <w:r>
        <w:t xml:space="preserve">Single-step </w:t>
      </w:r>
      <w:r w:rsidRPr="0051401B">
        <w:rPr>
          <w:b/>
        </w:rPr>
        <w:t>Key Derivation Function</w:t>
      </w:r>
      <w:r>
        <w:t xml:space="preserve"> spec: </w:t>
      </w:r>
    </w:p>
    <w:p w14:paraId="038DE590" w14:textId="6E088E4E" w:rsidR="00817D72" w:rsidRDefault="00DB15DC" w:rsidP="006E338D">
      <w:r>
        <w:t xml:space="preserve">input includes stared secret Z and other info. </w:t>
      </w:r>
      <w:proofErr w:type="spellStart"/>
      <w:proofErr w:type="gramStart"/>
      <w:r>
        <w:t>Kdf</w:t>
      </w:r>
      <w:proofErr w:type="spellEnd"/>
      <w:r>
        <w:t>(</w:t>
      </w:r>
      <w:proofErr w:type="gramEnd"/>
      <w:r>
        <w:t>Z, …)</w:t>
      </w:r>
    </w:p>
    <w:p w14:paraId="428F9F05" w14:textId="440C165C" w:rsidR="007C3D65" w:rsidRDefault="00DB15DC" w:rsidP="006E338D">
      <w:r>
        <w:t>Auxiliary hash function H – either approved hash(x) function (800-56A 5.1 and 5.8.1), or HMAC-</w:t>
      </w:r>
      <w:proofErr w:type="gramStart"/>
      <w:r>
        <w:t>hash(</w:t>
      </w:r>
      <w:proofErr w:type="gramEnd"/>
      <w:r>
        <w:t>salt, x) function, instantiation of HMAC defined in FIPS 198, employing approved hash. Salt could be protocol nonce, shared value, or pre-determined constant.</w:t>
      </w:r>
    </w:p>
    <w:p w14:paraId="1EC2AE13" w14:textId="0119B19A" w:rsidR="00DB15DC" w:rsidRDefault="00DB15DC" w:rsidP="006E338D">
      <w:r>
        <w:t xml:space="preserve">Input: Z, byte string representing shared secret z. </w:t>
      </w:r>
      <w:proofErr w:type="spellStart"/>
      <w:r>
        <w:t>keydatalen</w:t>
      </w:r>
      <w:proofErr w:type="spellEnd"/>
      <w:r>
        <w:t xml:space="preserve">: length of secret keying material. Less than or equal to </w:t>
      </w:r>
      <w:proofErr w:type="spellStart"/>
      <w:r>
        <w:t>hashlen</w:t>
      </w:r>
      <w:proofErr w:type="spellEnd"/>
      <w:r>
        <w:t xml:space="preserve"> x (2</w:t>
      </w:r>
      <w:r>
        <w:rPr>
          <w:vertAlign w:val="superscript"/>
        </w:rPr>
        <w:t>32</w:t>
      </w:r>
      <w:r>
        <w:t>-1).</w:t>
      </w:r>
    </w:p>
    <w:p w14:paraId="51BF1ED6" w14:textId="0D2C369F" w:rsidR="00DB15DC" w:rsidRDefault="00DB15DC" w:rsidP="006E338D">
      <w:r>
        <w:t>Process:</w:t>
      </w:r>
    </w:p>
    <w:p w14:paraId="74382A41" w14:textId="54C624F8" w:rsidR="00DB15DC" w:rsidRDefault="00DB15DC" w:rsidP="00DB15DC">
      <w:pPr>
        <w:pStyle w:val="ListParagraph"/>
        <w:numPr>
          <w:ilvl w:val="0"/>
          <w:numId w:val="10"/>
        </w:numPr>
      </w:pPr>
      <w:r>
        <w:t xml:space="preserve">Repetitions = </w:t>
      </w:r>
      <w:proofErr w:type="spellStart"/>
      <w:r>
        <w:t>keydatalen</w:t>
      </w:r>
      <w:proofErr w:type="spellEnd"/>
      <w:r>
        <w:t xml:space="preserve"> / </w:t>
      </w:r>
      <w:proofErr w:type="spellStart"/>
      <w:r>
        <w:t>hashlen</w:t>
      </w:r>
      <w:proofErr w:type="spellEnd"/>
    </w:p>
    <w:p w14:paraId="66E57D36" w14:textId="0EF7F239" w:rsidR="00DB15DC" w:rsidRDefault="00DB15DC" w:rsidP="006E338D">
      <w:pPr>
        <w:pStyle w:val="ListParagraph"/>
        <w:numPr>
          <w:ilvl w:val="0"/>
          <w:numId w:val="10"/>
        </w:numPr>
      </w:pPr>
      <w:r>
        <w:t>Initialise 32b counter 0x00000001.</w:t>
      </w:r>
    </w:p>
    <w:p w14:paraId="59142EED" w14:textId="0402AA5E" w:rsidR="00DB15DC" w:rsidRDefault="00DB15DC" w:rsidP="006E338D">
      <w:pPr>
        <w:pStyle w:val="ListParagraph"/>
        <w:numPr>
          <w:ilvl w:val="0"/>
          <w:numId w:val="10"/>
        </w:numPr>
      </w:pPr>
      <w:r>
        <w:t xml:space="preserve">For </w:t>
      </w:r>
      <w:proofErr w:type="spellStart"/>
      <w:r>
        <w:t>i</w:t>
      </w:r>
      <w:proofErr w:type="spellEnd"/>
      <w:r>
        <w:t>=1 to reps, do:</w:t>
      </w:r>
    </w:p>
    <w:p w14:paraId="754E8B3F" w14:textId="0F830E74" w:rsidR="00DB15DC" w:rsidRDefault="00DB15DC" w:rsidP="00DB15DC">
      <w:pPr>
        <w:pStyle w:val="ListParagraph"/>
        <w:numPr>
          <w:ilvl w:val="1"/>
          <w:numId w:val="10"/>
        </w:numPr>
      </w:pPr>
      <w:r>
        <w:t>Compute K(</w:t>
      </w:r>
      <w:proofErr w:type="spellStart"/>
      <w:r>
        <w:t>i</w:t>
      </w:r>
      <w:proofErr w:type="spellEnd"/>
      <w:r>
        <w:t>)=H(counter||Z||</w:t>
      </w:r>
      <w:proofErr w:type="spellStart"/>
      <w:r>
        <w:t>otherInfo</w:t>
      </w:r>
      <w:proofErr w:type="spellEnd"/>
      <w:r>
        <w:t>)</w:t>
      </w:r>
    </w:p>
    <w:p w14:paraId="31CE30CA" w14:textId="6CD63FAB" w:rsidR="00DB15DC" w:rsidRDefault="00DB15DC" w:rsidP="00DB15DC">
      <w:pPr>
        <w:pStyle w:val="ListParagraph"/>
        <w:numPr>
          <w:ilvl w:val="1"/>
          <w:numId w:val="10"/>
        </w:numPr>
      </w:pPr>
      <w:r>
        <w:t>Increment counter</w:t>
      </w:r>
    </w:p>
    <w:p w14:paraId="72556A12" w14:textId="191556DE" w:rsidR="00DB15DC" w:rsidRDefault="0051401B" w:rsidP="0051401B">
      <w:pPr>
        <w:pStyle w:val="ListParagraph"/>
        <w:numPr>
          <w:ilvl w:val="0"/>
          <w:numId w:val="10"/>
        </w:numPr>
      </w:pPr>
      <w:r>
        <w:t>If (</w:t>
      </w:r>
      <w:proofErr w:type="spellStart"/>
      <w:r>
        <w:t>keydatalen</w:t>
      </w:r>
      <w:proofErr w:type="spellEnd"/>
      <w:r>
        <w:t>/</w:t>
      </w:r>
      <w:proofErr w:type="spellStart"/>
      <w:r>
        <w:t>hashlen</w:t>
      </w:r>
      <w:proofErr w:type="spellEnd"/>
      <w:r>
        <w:t xml:space="preserve">) is integer, </w:t>
      </w:r>
      <w:proofErr w:type="spellStart"/>
      <w:r>
        <w:t>K_last</w:t>
      </w:r>
      <w:proofErr w:type="spellEnd"/>
      <w:r>
        <w:t xml:space="preserve"> = K(reps), else set to (</w:t>
      </w:r>
      <w:proofErr w:type="spellStart"/>
      <w:r>
        <w:t>keydatalen</w:t>
      </w:r>
      <w:proofErr w:type="spellEnd"/>
      <w:r>
        <w:t xml:space="preserve"> mod </w:t>
      </w:r>
      <w:proofErr w:type="spellStart"/>
      <w:r>
        <w:t>hashlen</w:t>
      </w:r>
      <w:proofErr w:type="spellEnd"/>
      <w:r>
        <w:t>) leftmost bits of K(reps).</w:t>
      </w:r>
    </w:p>
    <w:p w14:paraId="47D9DBF1" w14:textId="0572A495" w:rsidR="0051401B" w:rsidRDefault="0051401B" w:rsidP="0051401B">
      <w:pPr>
        <w:pStyle w:val="ListParagraph"/>
        <w:numPr>
          <w:ilvl w:val="0"/>
          <w:numId w:val="10"/>
        </w:numPr>
      </w:pPr>
      <w:proofErr w:type="spellStart"/>
      <w:r>
        <w:lastRenderedPageBreak/>
        <w:t>derivedKeyingMaterial</w:t>
      </w:r>
      <w:proofErr w:type="spellEnd"/>
      <w:r>
        <w:t xml:space="preserve"> = K(</w:t>
      </w:r>
      <w:proofErr w:type="gramStart"/>
      <w:r>
        <w:t>1)|</w:t>
      </w:r>
      <w:proofErr w:type="gramEnd"/>
      <w:r>
        <w:t>|K(2)||…||K(reps-1)||</w:t>
      </w:r>
      <w:proofErr w:type="spellStart"/>
      <w:r>
        <w:t>K_last</w:t>
      </w:r>
      <w:proofErr w:type="spellEnd"/>
    </w:p>
    <w:p w14:paraId="1A208C52" w14:textId="593610C6" w:rsidR="0051401B" w:rsidRDefault="0051401B" w:rsidP="0051401B">
      <w:r>
        <w:t xml:space="preserve">Output </w:t>
      </w:r>
      <w:proofErr w:type="spellStart"/>
      <w:r>
        <w:t>derivedKeyingMaterial</w:t>
      </w:r>
      <w:proofErr w:type="spellEnd"/>
      <w:r>
        <w:t xml:space="preserve"> of length </w:t>
      </w:r>
      <w:proofErr w:type="spellStart"/>
      <w:r>
        <w:t>keydatalen</w:t>
      </w:r>
      <w:proofErr w:type="spellEnd"/>
      <w:r>
        <w:t>.</w:t>
      </w:r>
    </w:p>
    <w:p w14:paraId="18486C4B" w14:textId="5D416E37" w:rsidR="006E338D" w:rsidRDefault="006E338D" w:rsidP="006E338D">
      <w:r>
        <w:t>Optimisations defined in section 5.</w:t>
      </w:r>
      <w:r w:rsidR="007C3D65">
        <w:t xml:space="preserve"> Perhaps complete as optional extension.</w:t>
      </w:r>
    </w:p>
    <w:p w14:paraId="3F8BBCD8" w14:textId="585FDFFF" w:rsidR="00623F47" w:rsidRDefault="00623F47"/>
    <w:p w14:paraId="71211A84" w14:textId="77777777" w:rsidR="00623F47" w:rsidRDefault="00623F47"/>
    <w:p w14:paraId="7B9E3AC3" w14:textId="34532308" w:rsidR="0058764A" w:rsidRDefault="002F4B04">
      <w:r>
        <w:t xml:space="preserve">PLAID: </w:t>
      </w:r>
    </w:p>
    <w:p w14:paraId="7473C71D" w14:textId="5278DFC4" w:rsidR="002F4B04" w:rsidRDefault="0023649B">
      <w:hyperlink r:id="rId6" w:history="1">
        <w:r w:rsidR="002F4B04" w:rsidRPr="00AB44B9">
          <w:rPr>
            <w:rStyle w:val="Hyperlink"/>
          </w:rPr>
          <w:t>https://www.humanservices.gov.au/organisations/about-us/publications-and-resources/protocol-lightweight-authentication-identity-plaid</w:t>
        </w:r>
      </w:hyperlink>
    </w:p>
    <w:p w14:paraId="786083E5" w14:textId="762DFAFB" w:rsidR="002F4B04" w:rsidRDefault="002F4B04">
      <w:r>
        <w:t xml:space="preserve">Best not use it: </w:t>
      </w:r>
      <w:hyperlink r:id="rId7" w:history="1">
        <w:r w:rsidRPr="00AB44B9">
          <w:rPr>
            <w:rStyle w:val="Hyperlink"/>
          </w:rPr>
          <w:t>https://www.schneier.com/blog/archives/2015/10/weaknesses_in_t.html</w:t>
        </w:r>
      </w:hyperlink>
    </w:p>
    <w:p w14:paraId="3BE9FFDB" w14:textId="5D0268A4" w:rsidR="002F4B04" w:rsidRDefault="002F4B04"/>
    <w:p w14:paraId="4075465A" w14:textId="3412F605" w:rsidR="002F4B04" w:rsidRDefault="002F4B04">
      <w:r>
        <w:t>NIST 800-73-4</w:t>
      </w:r>
      <w:r w:rsidR="008E7A3D">
        <w:t>:</w:t>
      </w:r>
    </w:p>
    <w:p w14:paraId="5674EA8B" w14:textId="7CB3A793" w:rsidR="008E7A3D" w:rsidRDefault="0023649B">
      <w:hyperlink r:id="rId8" w:history="1">
        <w:r w:rsidR="008E7A3D" w:rsidRPr="00AB44B9">
          <w:rPr>
            <w:rStyle w:val="Hyperlink"/>
          </w:rPr>
          <w:t>http://nvlpubs.nist.gov/nistpubs/SpecialPublications/NIST.SP.800-73-4.pdf</w:t>
        </w:r>
      </w:hyperlink>
    </w:p>
    <w:p w14:paraId="4BCCDEE9" w14:textId="363DB860" w:rsidR="008E7A3D" w:rsidRDefault="008E7A3D"/>
    <w:p w14:paraId="78D71AEE" w14:textId="77777777" w:rsidR="00525232" w:rsidRDefault="00525232"/>
    <w:p w14:paraId="64759054" w14:textId="16BEF15A" w:rsidR="0058764A" w:rsidRDefault="00525232">
      <w:r>
        <w:t>Some other protocol published 2004:</w:t>
      </w:r>
    </w:p>
    <w:p w14:paraId="2468EA05" w14:textId="6F31176A" w:rsidR="0058764A" w:rsidRDefault="0023649B">
      <w:hyperlink r:id="rId9" w:history="1">
        <w:r w:rsidR="000C3CE5" w:rsidRPr="00AB44B9">
          <w:rPr>
            <w:rStyle w:val="Hyperlink"/>
          </w:rPr>
          <w:t>https://link.springer.com/content/pdf/10.1007%2F1-4020-8143-X_23.pdf</w:t>
        </w:r>
      </w:hyperlink>
    </w:p>
    <w:p w14:paraId="495C408F" w14:textId="10D600D2" w:rsidR="00525232" w:rsidRDefault="00525232">
      <w:r>
        <w:t>Points from the paper:</w:t>
      </w:r>
    </w:p>
    <w:p w14:paraId="7CEA2252" w14:textId="296FDFF8" w:rsidR="00525232" w:rsidRDefault="00525232">
      <w:r>
        <w:t>Previously the main prohibitor to smartcard public key cryptography was limi</w:t>
      </w:r>
      <w:bookmarkStart w:id="0" w:name="_GoBack"/>
      <w:bookmarkEnd w:id="0"/>
      <w:r>
        <w:t>ted card processing power.</w:t>
      </w:r>
    </w:p>
    <w:p w14:paraId="43EFE97C" w14:textId="0E3DBC17" w:rsidR="00525232" w:rsidRDefault="0023649B" w:rsidP="00525232">
      <w:pPr>
        <w:pStyle w:val="ListParagraph"/>
        <w:numPr>
          <w:ilvl w:val="0"/>
          <w:numId w:val="2"/>
        </w:numPr>
      </w:pPr>
      <w:hyperlink r:id="rId10" w:history="1">
        <w:r w:rsidR="00525232" w:rsidRPr="00AB44B9">
          <w:rPr>
            <w:rStyle w:val="Hyperlink"/>
          </w:rPr>
          <w:t>www.dice.ucl.ac.be/cascade</w:t>
        </w:r>
      </w:hyperlink>
    </w:p>
    <w:p w14:paraId="0C95E3C1" w14:textId="49ACE5C2" w:rsidR="00525232" w:rsidRDefault="00525232" w:rsidP="00525232">
      <w:pPr>
        <w:pStyle w:val="ListParagraph"/>
        <w:numPr>
          <w:ilvl w:val="0"/>
          <w:numId w:val="2"/>
        </w:numPr>
      </w:pPr>
      <w:r>
        <w:t>Generation of prime numbers or pairs for elliptic curves was slow in software.</w:t>
      </w:r>
    </w:p>
    <w:p w14:paraId="382162CF" w14:textId="1EBBCFD7" w:rsidR="00525232" w:rsidRDefault="00525232" w:rsidP="00353A89">
      <w:pPr>
        <w:rPr>
          <w:rFonts w:eastAsia="Times New Roman" w:cstheme="minorHAnsi"/>
          <w:lang w:eastAsia="en-GB"/>
        </w:rPr>
      </w:pPr>
      <w:r>
        <w:t xml:space="preserve">Public key based architecture requires existence of public key infrastructure (PKI) </w:t>
      </w:r>
      <w:r w:rsidR="00353A89" w:rsidRPr="00353A89">
        <w:rPr>
          <w:rFonts w:cstheme="minorHAnsi"/>
        </w:rPr>
        <w:t>[</w:t>
      </w:r>
      <w:r w:rsidRPr="00353A89">
        <w:rPr>
          <w:rFonts w:eastAsia="Times New Roman" w:cstheme="minorHAnsi"/>
          <w:lang w:eastAsia="en-GB"/>
        </w:rPr>
        <w:t xml:space="preserve">ISOIIEC 11770-3, "Information technology -- Security techniques </w:t>
      </w:r>
      <w:r w:rsidR="00353A89">
        <w:rPr>
          <w:rFonts w:eastAsia="Times New Roman" w:cstheme="minorHAnsi"/>
          <w:lang w:eastAsia="en-GB"/>
        </w:rPr>
        <w:t>–</w:t>
      </w:r>
      <w:r w:rsidRPr="00353A89">
        <w:rPr>
          <w:rFonts w:eastAsia="Times New Roman" w:cstheme="minorHAnsi"/>
          <w:lang w:eastAsia="en-GB"/>
        </w:rPr>
        <w:t xml:space="preserve"> Key</w:t>
      </w:r>
      <w:r w:rsidR="00353A89">
        <w:rPr>
          <w:rFonts w:eastAsia="Times New Roman" w:cstheme="minorHAnsi"/>
          <w:lang w:eastAsia="en-GB"/>
        </w:rPr>
        <w:t xml:space="preserve"> </w:t>
      </w:r>
      <w:r w:rsidRPr="00525232">
        <w:rPr>
          <w:rFonts w:eastAsia="Times New Roman" w:cstheme="minorHAnsi"/>
          <w:lang w:eastAsia="en-GB"/>
        </w:rPr>
        <w:t xml:space="preserve">management -- Part 3: Mechanisms using </w:t>
      </w:r>
      <w:proofErr w:type="spellStart"/>
      <w:r w:rsidRPr="00525232">
        <w:rPr>
          <w:rFonts w:eastAsia="Times New Roman" w:cstheme="minorHAnsi"/>
          <w:lang w:eastAsia="en-GB"/>
        </w:rPr>
        <w:t>asymmetrie</w:t>
      </w:r>
      <w:proofErr w:type="spellEnd"/>
      <w:r w:rsidRPr="00525232">
        <w:rPr>
          <w:rFonts w:eastAsia="Times New Roman" w:cstheme="minorHAnsi"/>
          <w:lang w:eastAsia="en-GB"/>
        </w:rPr>
        <w:t xml:space="preserve"> techniques", ISO 1999</w:t>
      </w:r>
      <w:r w:rsidR="00353A89" w:rsidRPr="00353A89">
        <w:rPr>
          <w:rFonts w:eastAsia="Times New Roman" w:cstheme="minorHAnsi"/>
          <w:lang w:eastAsia="en-GB"/>
        </w:rPr>
        <w:t>]</w:t>
      </w:r>
    </w:p>
    <w:p w14:paraId="26212241" w14:textId="5B8844FE" w:rsidR="00353A89" w:rsidRDefault="00353A89" w:rsidP="00353A89">
      <w:pPr>
        <w:rPr>
          <w:rFonts w:eastAsia="Times New Roman" w:cstheme="minorHAnsi"/>
          <w:lang w:eastAsia="en-GB"/>
        </w:rPr>
      </w:pPr>
      <w:r>
        <w:rPr>
          <w:rFonts w:eastAsia="Times New Roman" w:cstheme="minorHAnsi"/>
          <w:lang w:eastAsia="en-GB"/>
        </w:rPr>
        <w:t xml:space="preserve">Most public key cryptography secure channel protocols not specifically designed for smart cards. E.g. limited communication buffers usually between 190-255B so </w:t>
      </w:r>
      <w:r w:rsidR="00432EDC">
        <w:rPr>
          <w:rFonts w:eastAsia="Times New Roman" w:cstheme="minorHAnsi"/>
          <w:lang w:eastAsia="en-GB"/>
        </w:rPr>
        <w:t>the number of messages exchanged should be minimal.</w:t>
      </w:r>
    </w:p>
    <w:p w14:paraId="15CB9B6B" w14:textId="2F8A0356" w:rsidR="00FF1ADA" w:rsidRDefault="00FF1ADA" w:rsidP="00353A89">
      <w:pPr>
        <w:rPr>
          <w:rFonts w:eastAsia="Times New Roman" w:cstheme="minorHAnsi"/>
          <w:lang w:eastAsia="en-GB"/>
        </w:rPr>
      </w:pPr>
      <w:proofErr w:type="spellStart"/>
      <w:r>
        <w:rPr>
          <w:rFonts w:eastAsia="Times New Roman" w:cstheme="minorHAnsi"/>
          <w:lang w:eastAsia="en-GB"/>
        </w:rPr>
        <w:t>GlobalPlatform</w:t>
      </w:r>
      <w:proofErr w:type="spellEnd"/>
      <w:r>
        <w:rPr>
          <w:rFonts w:eastAsia="Times New Roman" w:cstheme="minorHAnsi"/>
          <w:lang w:eastAsia="en-GB"/>
        </w:rPr>
        <w:t>:</w:t>
      </w:r>
    </w:p>
    <w:p w14:paraId="5CAED1D5" w14:textId="0C85C1B2" w:rsidR="00FF1AD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Card specification. Provides functionality e.g. key management/storage etc.</w:t>
      </w:r>
    </w:p>
    <w:p w14:paraId="02649366" w14:textId="1013A405"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Secure multi-application card management.</w:t>
      </w:r>
    </w:p>
    <w:p w14:paraId="5C87FBE7" w14:textId="0BCE6B98"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Closely coupled with Java Card technology (but no necessary dependency)</w:t>
      </w:r>
    </w:p>
    <w:p w14:paraId="0902678F" w14:textId="3F6ECB5D"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 xml:space="preserve">Secure channel – mechanism allowing card and host to authenticate each other and establish session keys to protect subsequent communication. </w:t>
      </w:r>
      <w:proofErr w:type="spellStart"/>
      <w:r>
        <w:rPr>
          <w:rFonts w:eastAsia="Times New Roman" w:cstheme="minorHAnsi"/>
          <w:lang w:eastAsia="en-GB"/>
        </w:rPr>
        <w:t>GlobalPlatform</w:t>
      </w:r>
      <w:proofErr w:type="spellEnd"/>
      <w:r>
        <w:rPr>
          <w:rFonts w:eastAsia="Times New Roman" w:cstheme="minorHAnsi"/>
          <w:lang w:eastAsia="en-GB"/>
        </w:rPr>
        <w:t xml:space="preserve"> spec defines 2 protocols for this: SCP01 and SCP02. Both symmetric protocols.</w:t>
      </w:r>
    </w:p>
    <w:p w14:paraId="187C731F" w14:textId="45350435" w:rsidR="005935BA" w:rsidRDefault="005935BA" w:rsidP="00FF1ADA">
      <w:pPr>
        <w:pStyle w:val="ListParagraph"/>
        <w:numPr>
          <w:ilvl w:val="0"/>
          <w:numId w:val="3"/>
        </w:numPr>
        <w:rPr>
          <w:rFonts w:eastAsia="Times New Roman" w:cstheme="minorHAnsi"/>
          <w:lang w:eastAsia="en-GB"/>
        </w:rPr>
      </w:pPr>
      <w:proofErr w:type="spellStart"/>
      <w:r>
        <w:rPr>
          <w:rFonts w:eastAsia="Times New Roman" w:cstheme="minorHAnsi"/>
          <w:lang w:eastAsia="en-GB"/>
        </w:rPr>
        <w:lastRenderedPageBreak/>
        <w:t>GlobalPlatform</w:t>
      </w:r>
      <w:proofErr w:type="spellEnd"/>
      <w:r>
        <w:rPr>
          <w:rFonts w:eastAsia="Times New Roman" w:cstheme="minorHAnsi"/>
          <w:lang w:eastAsia="en-GB"/>
        </w:rPr>
        <w:t xml:space="preserve"> has Security Domains. </w:t>
      </w:r>
      <w:r w:rsidR="001669A6">
        <w:rPr>
          <w:rFonts w:eastAsia="Times New Roman" w:cstheme="minorHAnsi"/>
          <w:lang w:eastAsia="en-GB"/>
        </w:rPr>
        <w:t>On-card representative of card issuer or app provider. Allows issuers to share control over portion of the card with approved partners. Security domains also responsible for cryptographic functions and key handling</w:t>
      </w:r>
    </w:p>
    <w:p w14:paraId="1DEF3E92" w14:textId="77777777" w:rsidR="001669A6" w:rsidRPr="001669A6" w:rsidRDefault="001669A6" w:rsidP="001669A6">
      <w:pPr>
        <w:rPr>
          <w:rFonts w:eastAsia="Times New Roman" w:cstheme="minorHAnsi"/>
          <w:lang w:eastAsia="en-GB"/>
        </w:rPr>
      </w:pPr>
    </w:p>
    <w:p w14:paraId="08F727BC" w14:textId="51F20528" w:rsidR="00525232" w:rsidRDefault="00525232" w:rsidP="00525232"/>
    <w:p w14:paraId="0A279330" w14:textId="3C2B9D57" w:rsidR="000C3CE5" w:rsidRDefault="000C3CE5"/>
    <w:p w14:paraId="703FEFBD" w14:textId="5FDD1D65" w:rsidR="000C3CE5" w:rsidRDefault="000C3CE5"/>
    <w:p w14:paraId="40BD8FB9" w14:textId="3A0F9E82" w:rsidR="000C3CE5" w:rsidRDefault="000C3CE5">
      <w:r>
        <w:t>Note: FIPS140-2 is a US government security standard for cryptographic modules.</w:t>
      </w:r>
    </w:p>
    <w:sectPr w:rsidR="000C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710"/>
    <w:multiLevelType w:val="hybridMultilevel"/>
    <w:tmpl w:val="E8E2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0E7BC2"/>
    <w:multiLevelType w:val="hybridMultilevel"/>
    <w:tmpl w:val="4F060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95F57"/>
    <w:multiLevelType w:val="hybridMultilevel"/>
    <w:tmpl w:val="C53E8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B40E49"/>
    <w:multiLevelType w:val="hybridMultilevel"/>
    <w:tmpl w:val="83A03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A31F84"/>
    <w:multiLevelType w:val="hybridMultilevel"/>
    <w:tmpl w:val="889E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46616"/>
    <w:multiLevelType w:val="hybridMultilevel"/>
    <w:tmpl w:val="434AC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4F7AED"/>
    <w:multiLevelType w:val="hybridMultilevel"/>
    <w:tmpl w:val="6E38E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55C66"/>
    <w:multiLevelType w:val="hybridMultilevel"/>
    <w:tmpl w:val="01C43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D7C4B"/>
    <w:multiLevelType w:val="hybridMultilevel"/>
    <w:tmpl w:val="31DA0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C6FA0"/>
    <w:multiLevelType w:val="hybridMultilevel"/>
    <w:tmpl w:val="143A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631A66"/>
    <w:multiLevelType w:val="hybridMultilevel"/>
    <w:tmpl w:val="FA820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
  </w:num>
  <w:num w:numId="5">
    <w:abstractNumId w:val="7"/>
  </w:num>
  <w:num w:numId="6">
    <w:abstractNumId w:val="10"/>
  </w:num>
  <w:num w:numId="7">
    <w:abstractNumId w:val="0"/>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B5"/>
    <w:rsid w:val="000A108D"/>
    <w:rsid w:val="000C3CE5"/>
    <w:rsid w:val="000E37D4"/>
    <w:rsid w:val="001218EE"/>
    <w:rsid w:val="001669A6"/>
    <w:rsid w:val="001A006C"/>
    <w:rsid w:val="0023649B"/>
    <w:rsid w:val="002F4B04"/>
    <w:rsid w:val="00311E1F"/>
    <w:rsid w:val="00353A89"/>
    <w:rsid w:val="00410361"/>
    <w:rsid w:val="00432EDC"/>
    <w:rsid w:val="004B2679"/>
    <w:rsid w:val="004F6140"/>
    <w:rsid w:val="0051401B"/>
    <w:rsid w:val="00515734"/>
    <w:rsid w:val="00525232"/>
    <w:rsid w:val="00533908"/>
    <w:rsid w:val="0058764A"/>
    <w:rsid w:val="00587BA0"/>
    <w:rsid w:val="005935BA"/>
    <w:rsid w:val="005B0F92"/>
    <w:rsid w:val="00623F47"/>
    <w:rsid w:val="006265D3"/>
    <w:rsid w:val="0068772B"/>
    <w:rsid w:val="006E338D"/>
    <w:rsid w:val="00702042"/>
    <w:rsid w:val="007C3D65"/>
    <w:rsid w:val="007F4B4C"/>
    <w:rsid w:val="00817D72"/>
    <w:rsid w:val="008E7A3D"/>
    <w:rsid w:val="00B25592"/>
    <w:rsid w:val="00B67160"/>
    <w:rsid w:val="00B9197A"/>
    <w:rsid w:val="00B929A5"/>
    <w:rsid w:val="00C50818"/>
    <w:rsid w:val="00CA1EFA"/>
    <w:rsid w:val="00D72835"/>
    <w:rsid w:val="00DB15DC"/>
    <w:rsid w:val="00DE4D06"/>
    <w:rsid w:val="00E843C7"/>
    <w:rsid w:val="00ED6CE3"/>
    <w:rsid w:val="00F20316"/>
    <w:rsid w:val="00F87CFA"/>
    <w:rsid w:val="00F92DB5"/>
    <w:rsid w:val="00FB396F"/>
    <w:rsid w:val="00FF1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D500"/>
  <w15:chartTrackingRefBased/>
  <w15:docId w15:val="{2473C425-1079-4128-9A23-D8E84E44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64A"/>
    <w:rPr>
      <w:color w:val="0563C1" w:themeColor="hyperlink"/>
      <w:u w:val="single"/>
    </w:rPr>
  </w:style>
  <w:style w:type="character" w:styleId="UnresolvedMention">
    <w:name w:val="Unresolved Mention"/>
    <w:basedOn w:val="DefaultParagraphFont"/>
    <w:uiPriority w:val="99"/>
    <w:semiHidden/>
    <w:unhideWhenUsed/>
    <w:rsid w:val="0058764A"/>
    <w:rPr>
      <w:color w:val="808080"/>
      <w:shd w:val="clear" w:color="auto" w:fill="E6E6E6"/>
    </w:rPr>
  </w:style>
  <w:style w:type="paragraph" w:styleId="ListParagraph">
    <w:name w:val="List Paragraph"/>
    <w:basedOn w:val="Normal"/>
    <w:uiPriority w:val="34"/>
    <w:qFormat/>
    <w:rsid w:val="000A108D"/>
    <w:pPr>
      <w:ind w:left="720"/>
      <w:contextualSpacing/>
    </w:pPr>
  </w:style>
  <w:style w:type="character" w:styleId="FollowedHyperlink">
    <w:name w:val="FollowedHyperlink"/>
    <w:basedOn w:val="DefaultParagraphFont"/>
    <w:uiPriority w:val="99"/>
    <w:semiHidden/>
    <w:unhideWhenUsed/>
    <w:rsid w:val="00525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10348">
      <w:bodyDiv w:val="1"/>
      <w:marLeft w:val="0"/>
      <w:marRight w:val="0"/>
      <w:marTop w:val="0"/>
      <w:marBottom w:val="0"/>
      <w:divBdr>
        <w:top w:val="none" w:sz="0" w:space="0" w:color="auto"/>
        <w:left w:val="none" w:sz="0" w:space="0" w:color="auto"/>
        <w:bottom w:val="none" w:sz="0" w:space="0" w:color="auto"/>
        <w:right w:val="none" w:sz="0" w:space="0" w:color="auto"/>
      </w:divBdr>
      <w:divsChild>
        <w:div w:id="2023122381">
          <w:marLeft w:val="0"/>
          <w:marRight w:val="0"/>
          <w:marTop w:val="0"/>
          <w:marBottom w:val="0"/>
          <w:divBdr>
            <w:top w:val="none" w:sz="0" w:space="0" w:color="auto"/>
            <w:left w:val="none" w:sz="0" w:space="0" w:color="auto"/>
            <w:bottom w:val="none" w:sz="0" w:space="0" w:color="auto"/>
            <w:right w:val="none" w:sz="0" w:space="0" w:color="auto"/>
          </w:divBdr>
        </w:div>
        <w:div w:id="210462484">
          <w:marLeft w:val="0"/>
          <w:marRight w:val="0"/>
          <w:marTop w:val="0"/>
          <w:marBottom w:val="0"/>
          <w:divBdr>
            <w:top w:val="none" w:sz="0" w:space="0" w:color="auto"/>
            <w:left w:val="none" w:sz="0" w:space="0" w:color="auto"/>
            <w:bottom w:val="none" w:sz="0" w:space="0" w:color="auto"/>
            <w:right w:val="none" w:sz="0" w:space="0" w:color="auto"/>
          </w:divBdr>
        </w:div>
        <w:div w:id="511190166">
          <w:marLeft w:val="0"/>
          <w:marRight w:val="0"/>
          <w:marTop w:val="0"/>
          <w:marBottom w:val="0"/>
          <w:divBdr>
            <w:top w:val="none" w:sz="0" w:space="0" w:color="auto"/>
            <w:left w:val="none" w:sz="0" w:space="0" w:color="auto"/>
            <w:bottom w:val="none" w:sz="0" w:space="0" w:color="auto"/>
            <w:right w:val="none" w:sz="0" w:space="0" w:color="auto"/>
          </w:divBdr>
        </w:div>
        <w:div w:id="460155065">
          <w:marLeft w:val="0"/>
          <w:marRight w:val="0"/>
          <w:marTop w:val="0"/>
          <w:marBottom w:val="0"/>
          <w:divBdr>
            <w:top w:val="none" w:sz="0" w:space="0" w:color="auto"/>
            <w:left w:val="none" w:sz="0" w:space="0" w:color="auto"/>
            <w:bottom w:val="none" w:sz="0" w:space="0" w:color="auto"/>
            <w:right w:val="none" w:sz="0" w:space="0" w:color="auto"/>
          </w:divBdr>
        </w:div>
        <w:div w:id="964391383">
          <w:marLeft w:val="0"/>
          <w:marRight w:val="0"/>
          <w:marTop w:val="0"/>
          <w:marBottom w:val="0"/>
          <w:divBdr>
            <w:top w:val="none" w:sz="0" w:space="0" w:color="auto"/>
            <w:left w:val="none" w:sz="0" w:space="0" w:color="auto"/>
            <w:bottom w:val="none" w:sz="0" w:space="0" w:color="auto"/>
            <w:right w:val="none" w:sz="0" w:space="0" w:color="auto"/>
          </w:divBdr>
        </w:div>
      </w:divsChild>
    </w:div>
    <w:div w:id="2051294850">
      <w:bodyDiv w:val="1"/>
      <w:marLeft w:val="0"/>
      <w:marRight w:val="0"/>
      <w:marTop w:val="0"/>
      <w:marBottom w:val="0"/>
      <w:divBdr>
        <w:top w:val="none" w:sz="0" w:space="0" w:color="auto"/>
        <w:left w:val="none" w:sz="0" w:space="0" w:color="auto"/>
        <w:bottom w:val="none" w:sz="0" w:space="0" w:color="auto"/>
        <w:right w:val="none" w:sz="0" w:space="0" w:color="auto"/>
      </w:divBdr>
      <w:divsChild>
        <w:div w:id="298804843">
          <w:marLeft w:val="0"/>
          <w:marRight w:val="0"/>
          <w:marTop w:val="0"/>
          <w:marBottom w:val="0"/>
          <w:divBdr>
            <w:top w:val="none" w:sz="0" w:space="0" w:color="auto"/>
            <w:left w:val="none" w:sz="0" w:space="0" w:color="auto"/>
            <w:bottom w:val="none" w:sz="0" w:space="0" w:color="auto"/>
            <w:right w:val="none" w:sz="0" w:space="0" w:color="auto"/>
          </w:divBdr>
        </w:div>
        <w:div w:id="84779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73-4.pdf" TargetMode="External"/><Relationship Id="rId3" Type="http://schemas.openxmlformats.org/officeDocument/2006/relationships/settings" Target="settings.xml"/><Relationship Id="rId7" Type="http://schemas.openxmlformats.org/officeDocument/2006/relationships/hyperlink" Target="https://www.schneier.com/blog/archives/2015/10/weaknesses_in_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manservices.gov.au/organisations/about-us/publications-and-resources/protocol-lightweight-authentication-identity-plai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dice.ucl.ac.be/cascade" TargetMode="External"/><Relationship Id="rId4" Type="http://schemas.openxmlformats.org/officeDocument/2006/relationships/webSettings" Target="webSettings.xml"/><Relationship Id="rId9" Type="http://schemas.openxmlformats.org/officeDocument/2006/relationships/hyperlink" Target="https://link.springer.com/content/pdf/10.1007%2F1-4020-8143-X_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2017-11-09T14:21:00Z</dcterms:created>
  <dcterms:modified xsi:type="dcterms:W3CDTF">2017-11-18T22:36:00Z</dcterms:modified>
</cp:coreProperties>
</file>