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5140F" w14:textId="779F0990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1. On 1 March 2024, the Republic of Nicaragua (hereinafter “Nicaragua”)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filed in the Registry of the Court an </w:t>
      </w:r>
      <w:proofErr w:type="gramStart"/>
      <w:r w:rsidRPr="004D78CC">
        <w:rPr>
          <w:sz w:val="24"/>
          <w:szCs w:val="24"/>
        </w:rPr>
        <w:t>Application</w:t>
      </w:r>
      <w:proofErr w:type="gramEnd"/>
      <w:r w:rsidRPr="004D78CC">
        <w:rPr>
          <w:sz w:val="24"/>
          <w:szCs w:val="24"/>
        </w:rPr>
        <w:t xml:space="preserve"> instituting proceedings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against the Federal Republic of Germany (hereinafter “Germany”) concerning alleged breaches of certain international obligations in respect of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Occupied Palestinian Territory.</w:t>
      </w:r>
    </w:p>
    <w:p w14:paraId="59F84315" w14:textId="7AF540F3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2. At the end of its Application, Nicaragua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“respectfully requests the Court to adjudge and declare that Germany: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(1) has breached and continues to breach its obligations under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Genocide Convention in particular the obligations provided in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Article I by, with full knowledge of the situation, failing to prevent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ongoing genocide against the Palestinian People in particular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Gazans;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(2) has breached and continues to breach its obligations under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Genocide Convention in particular the obligations provided in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Article I by not only failing to prevent the ongoing genocide but by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providing aid, including military equipment, to Israel that would be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used in the commission of genocide, by Israel, and by withdrawing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financial assistance to the victims provided by UNRWA;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(3) has breached and continues to breach its obligations under Article I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of the Fourth Geneva Convention and </w:t>
      </w:r>
      <w:proofErr w:type="spellStart"/>
      <w:r w:rsidRPr="004D78CC">
        <w:rPr>
          <w:sz w:val="24"/>
          <w:szCs w:val="24"/>
        </w:rPr>
        <w:t>intransgressible</w:t>
      </w:r>
      <w:proofErr w:type="spellEnd"/>
      <w:r w:rsidRPr="004D78CC">
        <w:rPr>
          <w:sz w:val="24"/>
          <w:szCs w:val="24"/>
        </w:rPr>
        <w:t xml:space="preserve"> principles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of humanitarian law, not only by failing to ensure that the requirements of that Convention are complied with, but also by providing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aid, including military equipment, that would be used in the commission of genocide, crimes against humanity, grave breaches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Geneva Conventions of 1949, attacks directed against civilian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objects or civilians protected as such, or other war crimes, in violation of its duties under the 1949 Geneva Conventions and customary international law and by withdrawing Germany’s financial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assist</w:t>
      </w:r>
      <w:r w:rsidRPr="004D78CC">
        <w:rPr>
          <w:sz w:val="24"/>
          <w:szCs w:val="24"/>
        </w:rPr>
        <w:softHyphen/>
        <w:t>ance to UNRWA;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(4) has breached and continues to breach its obligations under international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humanitarian law not only by failing to ensure that these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rules of elementary consideration of humanity are respected by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Israel, but also by providing aid and assistance to Israel, and withdrawing Germany’s financial assistance to UNRWA;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(5) has breached and continues to breach its conventional and customary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law obligations, including the obligation to facilitate and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cooperate in bringing about the Palestinian People’s right to self-determination</w:t>
      </w:r>
      <w:r>
        <w:rPr>
          <w:sz w:val="24"/>
          <w:szCs w:val="24"/>
        </w:rPr>
        <w:t xml:space="preserve">, </w:t>
      </w:r>
      <w:r w:rsidRPr="004D78CC">
        <w:rPr>
          <w:sz w:val="24"/>
          <w:szCs w:val="24"/>
        </w:rPr>
        <w:t>by providing aid and particularly military equipment to Israel that is used to deny this right of self-determination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and moreover helps to maintain and impose an apartheid regime;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(6) has breached and continues to breach international law by refusing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to prosecute, bring to trial and punish persons responsible for, or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accused of grave crimes under international law, including war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crimes and apartheid, whether or not such persons are German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nationals;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(7) must cease immediately the breaches of its international obligations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indicated above;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(8) must give assurances of non-repetition of the breaches of its obligations indicated above;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(9) must make full reparation for the injury caused by its internationally wrongful acts.”</w:t>
      </w:r>
    </w:p>
    <w:p w14:paraId="6C395621" w14:textId="7DAE730F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3. In its Application, Nicaragua seeks to found the jurisdiction of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Court on the declaration which it made on 24 September 1929 (as amended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on 23 October 2001) under Article 36 of the Statute of the Permanent Court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of International Justice and which is deemed, pursuant to Article 36, paragraph 5, of the Statute of the present Court, for the period which it still has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to run, to be acceptance of the compulsory jurisdiction of this Court, as well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as on the declaration made by Germany on 30 April 2008, under Article 36,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paragraph 2, of the Statute. Nicaragua also seeks to found the jurisdiction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Court on Article IX of the Convention on the Prevention and Punishment of the Crime of Genocide (hereinafter the “Genocide Convention” or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“Convention”).</w:t>
      </w:r>
    </w:p>
    <w:p w14:paraId="7E2489F0" w14:textId="5223915F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4. The Application contained a Request for the indication of provisional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measures submitted with reference to Article 41 of the Statute and 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Articles 73, 74 and 75 of the Rules of Court.</w:t>
      </w:r>
    </w:p>
    <w:p w14:paraId="3E393B62" w14:textId="0270DF19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5. At the end of its Request, Nicaragua asks the Court to indicate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following provisional measures: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“(1) Germany shall immediately suspend its aid to Israel, in particular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its military </w:t>
      </w:r>
      <w:r w:rsidRPr="004D78CC">
        <w:rPr>
          <w:sz w:val="24"/>
          <w:szCs w:val="24"/>
        </w:rPr>
        <w:lastRenderedPageBreak/>
        <w:t>assistance including military equipment, in so far as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this aid may be used in the violation of the Genocide Convention,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international humanitarian law or other peremptory norms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general international law such as the Palestinian People’s right 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self-determination and to not be subject to a regime of apartheid;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(2) Germany must immediately make every effort to ensure that weapons already delivered to Israel are not used to commit genocide,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contribute to acts of genocide or are used in such a way as to violate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international humanitarian law;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(3) Germany must immediately do everything possible to comply with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its obligations under humanitarian law;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(4) Germany must reverse its decision to suspend the funding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UNRWA as part of the compliance of its obligations to prevent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genocide and acts of genocide and the violation of the humanitarian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rights of the Palestinian People which also includes the obligation 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do everything possible to ensure that humanitarian aid reaches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Palestinian People, more particularly in Gaza;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(5) Germany must cooperate to bring to an end the serious breaches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peremptory norms of international law by ceasing its support,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including its supply of military equipment to Israel that may be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used to commit serious crimes of international law and that it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continue the support of the UNRWA on which this Organization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has counted and based its activities.”</w:t>
      </w:r>
    </w:p>
    <w:p w14:paraId="6826032F" w14:textId="09139302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6. The Deputy-Registrar immediately communicated to the Government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of Germany the Application containing the Request for the indication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provisional measures, in accordance with Article 40, paragraph 2, of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Statute of the Court and Article 73, paragraph 2, of the Rules of Court. 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also notified the Secretary-General of the United Nations of the filing by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Nicaragua of the Application and the Request for the indication of provisional measures.</w:t>
      </w:r>
    </w:p>
    <w:p w14:paraId="4D29373A" w14:textId="3A61F225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7. Pending the notification provided for by Article 40, paragraph 3, of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Statute of the Court, the Registrar informed all States entitled to appear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before the Court of the filing of the Application and the Request for the indication of provisional measures by a letter dated 4 March 2024.</w:t>
      </w:r>
    </w:p>
    <w:p w14:paraId="43757494" w14:textId="12AF497A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8. Since the Court included upon the Bench no judge of Nicaraguan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nationality, Nicaragua proceeded to exercise the right conferred upon it by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Article 31, paragraph 3, of the Statute to choose a judge </w:t>
      </w:r>
      <w:r w:rsidRPr="004D78CC">
        <w:rPr>
          <w:i/>
          <w:iCs/>
          <w:sz w:val="24"/>
          <w:szCs w:val="24"/>
        </w:rPr>
        <w:t>ad hoc</w:t>
      </w:r>
      <w:r w:rsidRPr="004D78CC">
        <w:rPr>
          <w:sz w:val="24"/>
          <w:szCs w:val="24"/>
        </w:rPr>
        <w:t xml:space="preserve"> to sit in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case; it chose Mr Awn Shawkat Al-</w:t>
      </w:r>
      <w:proofErr w:type="spellStart"/>
      <w:r w:rsidRPr="004D78CC">
        <w:rPr>
          <w:sz w:val="24"/>
          <w:szCs w:val="24"/>
        </w:rPr>
        <w:t>Khasawneh</w:t>
      </w:r>
      <w:proofErr w:type="spellEnd"/>
      <w:r w:rsidRPr="004D78CC">
        <w:rPr>
          <w:sz w:val="24"/>
          <w:szCs w:val="24"/>
        </w:rPr>
        <w:t>.</w:t>
      </w:r>
    </w:p>
    <w:p w14:paraId="57953724" w14:textId="74E789CC" w:rsid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9. By letters dated 5 March 2024, the Registrar informed the Parties that,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pursuant to Article 74, paragraph 3, of its Rules, the Court had fixed Monday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8 April and Tuesday 9 April 2024 as the dates for the oral proceedings on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request for the indication of provisional measures.</w:t>
      </w:r>
      <w:r>
        <w:rPr>
          <w:sz w:val="24"/>
          <w:szCs w:val="24"/>
        </w:rPr>
        <w:t xml:space="preserve"> </w:t>
      </w:r>
    </w:p>
    <w:p w14:paraId="024F2241" w14:textId="7B32668D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10. At the public hearings, oral observations on the request for the indication of provisional measures were presented by: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 xml:space="preserve">On behalf of Nicaragua: </w:t>
      </w:r>
      <w:r w:rsidRPr="004D78CC">
        <w:rPr>
          <w:sz w:val="24"/>
          <w:szCs w:val="24"/>
        </w:rPr>
        <w:t xml:space="preserve">HE Mr Carlos José </w:t>
      </w:r>
      <w:proofErr w:type="spellStart"/>
      <w:r w:rsidRPr="004D78CC">
        <w:rPr>
          <w:sz w:val="24"/>
          <w:szCs w:val="24"/>
        </w:rPr>
        <w:t>Argüello</w:t>
      </w:r>
      <w:proofErr w:type="spellEnd"/>
      <w:r w:rsidRPr="004D78CC">
        <w:rPr>
          <w:sz w:val="24"/>
          <w:szCs w:val="24"/>
        </w:rPr>
        <w:t xml:space="preserve"> Gómez,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Mr Daniel Müller,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Mr Alain Pellet.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On behalf of Germany:</w:t>
      </w:r>
      <w:r w:rsidRPr="004D78CC">
        <w:rPr>
          <w:sz w:val="24"/>
          <w:szCs w:val="24"/>
        </w:rPr>
        <w:t xml:space="preserve"> Ms Tania von Uslar-Gleichen,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Mr Christian J. Tams,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Mr Samuel Wordsworth,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Ms Anne Peters,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Mr Paolo Palchetti.</w:t>
      </w:r>
    </w:p>
    <w:p w14:paraId="4F43667E" w14:textId="5AD956B2" w:rsid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11. At the end of its oral observations, Nicaragua requested the Court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“as a matter of extreme urgency, pending the Court’s determination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this case on the merits, and after recalling to the Parties the obligation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of compliance with humanitarian law as well as of the obligation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cooperation to bring to an end all serious breaches of peremptory norms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of international law, to indicate the following provisional measures with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respect to Germany in its participation in the ongoing plausible genocide and serious breaches of international humanitarian law and other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peremptory norms of general international law occurring in the Gaza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Strip, as well as in other parts of Palestine, namely, to order that: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(1) Germany must immediately suspend its aid to Israel, in particular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its military assistance, export and authorization of export of military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equipment and war weapons, in so far as this aid is used or could be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used to commit or to </w:t>
      </w:r>
      <w:r w:rsidRPr="004D78CC">
        <w:rPr>
          <w:sz w:val="24"/>
          <w:szCs w:val="24"/>
        </w:rPr>
        <w:lastRenderedPageBreak/>
        <w:t>facilitate serious violations of the Genocide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Convention, international humanitarian law or other peremptory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norms of general international law;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(2) Germany must immediately ensure that military equipment, war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weapons, and other equipment used for military purposes already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delivered by Germany and German entities to Israel are not used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to commit or to facilitate serious violations of the Genocide Convention,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international humanitarian law or other peremptory norms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of general international law;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(3) Germany must resume its support and financing of UNRWA in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respect of its operations in Gaza.”</w:t>
      </w:r>
    </w:p>
    <w:p w14:paraId="7D54B2C9" w14:textId="21F50166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12. At the end of its oral observations, Germany asked the Court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“(1) to reject the request for the indication of provisional measures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submitted by the Republic of Nicaragua; and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(2) to remove from the General List the case introduced by the Republic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of Nicaragua on 1 March 2024”.</w:t>
      </w:r>
    </w:p>
    <w:p w14:paraId="508CEC48" w14:textId="37CF39A0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13. The Court recalls that, pursuant to Article 41 of the Statute, it has “the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power to indicate, if it considers that circumstances so require, any provisional measures which ought to be taken to preserve the respective rights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either party”. In the present proceedings, the Court considers that it must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first ascertain whether Nicaragua has sufficiently shown that the circumstances as they now present themselves to the Court are such as to require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exercise of its power to indicate provisional measures.</w:t>
      </w:r>
    </w:p>
    <w:p w14:paraId="31E383D4" w14:textId="25571C23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14. Nicaragua asserts that, by providing weapons to Israel and by suspending the provision of funds to the United Nations Relief and Works Agency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for Palestine Refugees in the Near East (UNRWA), Germany has failed 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comply with its obligations under the Genocide Convention and international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humanitarian law, including the Geneva Conventions of 12 August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1949 (hereinafter the “Geneva Conventions”) and the Additional Protocols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of 8 June 1977, and its </w:t>
      </w:r>
      <w:proofErr w:type="spellStart"/>
      <w:r w:rsidRPr="004D78CC">
        <w:rPr>
          <w:sz w:val="24"/>
          <w:szCs w:val="24"/>
        </w:rPr>
        <w:t>intransgressible</w:t>
      </w:r>
      <w:proofErr w:type="spellEnd"/>
      <w:r w:rsidRPr="004D78CC">
        <w:rPr>
          <w:sz w:val="24"/>
          <w:szCs w:val="24"/>
        </w:rPr>
        <w:t xml:space="preserve"> principles. Nicaragua contends that,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for the year 2023, the German Government authorized exports “of military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equipment and war weapons” worth more than €326 million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which is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more than ten times than for the year 2022 —, and that, out of this amount,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licences for military equipment worth almost €300 million have been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granted since the beginning of the military operation by Israel in the Gaza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Strip. Nicaragua further argues that, in early 2024, the German Government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provided export licences for “military equipment and weapons of war”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worth more than €9 million. Nicaragua claims that Germany could not be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unaware of the situation in Gaza nor ignore the likelihood that the “military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equipment and war weapons” provided by it would be used by Israel “to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bomb and kill thousands of Palestinian children, women and men”. It also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claims that Germany has not only violated its obligations to prevent and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punish breaches of the Genocide Convention and of international humanitarian law, but that it is also “complicit in them by aiding and assisting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commission of [those] breaches”.</w:t>
      </w:r>
    </w:p>
    <w:p w14:paraId="50BD8180" w14:textId="7C305A49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15. In response, Germany first states that it has fulfilled the obligation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incumbent on States parties to the Genocide Convention to prevent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occurrence of genocide by continuously using all reasonable means at its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disposal to exert its influence on Israel </w:t>
      </w:r>
      <w:proofErr w:type="gramStart"/>
      <w:r w:rsidRPr="004D78CC">
        <w:rPr>
          <w:sz w:val="24"/>
          <w:szCs w:val="24"/>
        </w:rPr>
        <w:t>in order to</w:t>
      </w:r>
      <w:proofErr w:type="gramEnd"/>
      <w:r w:rsidRPr="004D78CC">
        <w:rPr>
          <w:sz w:val="24"/>
          <w:szCs w:val="24"/>
        </w:rPr>
        <w:t xml:space="preserve"> improve the situation in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Gaza and to furnish humanitarian aid to the population of Gaza. Secondly, it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contends that the obligation that could be derived from common Article 1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Geneva Conventions incumbent upon non-parties to an armed conflict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does not obligate a State to refrain completely from providing military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support to a State involved in an armed conflict. It rather requires States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supplying arms to an area of armed conflict, before taking decisions regarding exports of military equipment and arms, to conduct a proper risk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assessment as to whether such arms will be used to commit breaches of obligations under applicable rules of international law. Germany further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contends that it has stringent licensing standards to assess whether there is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any risk of serious violations of the Genocide Convention, international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lastRenderedPageBreak/>
        <w:t>humanitarian law and other peremptory norms of international law by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recipient State. According to Germany, there is no evidence that the supply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of military equipment to Israel by Germany would have contributed to an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alleged genocide or to breaches of international humanitarian law.</w:t>
      </w:r>
    </w:p>
    <w:p w14:paraId="5F83B319" w14:textId="72E7BC41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16. The Court notes that Germany, as it has stated, is bound by the Arms</w:t>
      </w:r>
      <w:r>
        <w:rPr>
          <w:sz w:val="24"/>
          <w:szCs w:val="24"/>
        </w:rPr>
        <w:t xml:space="preserve"> </w:t>
      </w:r>
      <w:r w:rsidRPr="004D78CC">
        <w:rPr>
          <w:rStyle w:val="s2"/>
          <w:rFonts w:eastAsiaTheme="majorEastAsia"/>
          <w:sz w:val="24"/>
          <w:szCs w:val="24"/>
        </w:rPr>
        <w:t>T</w:t>
      </w:r>
      <w:r w:rsidRPr="004D78CC">
        <w:rPr>
          <w:sz w:val="24"/>
          <w:szCs w:val="24"/>
        </w:rPr>
        <w:t>rade Treaty of 2 April 2013 and by the European Council Common Position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2008/944/CFSP of 8 December 2008 (as amended by Council Decision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(CFSP) 2019/1560, published on 17 September 2019), which defines common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rules governing the control of exports of military technology and equipment.</w:t>
      </w:r>
    </w:p>
    <w:p w14:paraId="0ECB4E28" w14:textId="06D65ABB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17. The Court further notes that, as Germany has also stated, the German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legal framework on the manufacturing, marketing and export of weapons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and other military equipment involves an inter-agency process with consideration by at least two ministries, and potentially other ministries depending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on the content of the licence application. Under this legal framework, there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are two categories of military technology and equipment subject to licensing, “war weapons” and “other military equipment”. The export of “war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weapons”, which include combat aircraft, tanks, automatic weapons and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certain corresponding ammunition and essential components, requires two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licences. The export of “other military equipment”, which includes defence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equipment against chemical hazards, protective gear such as helmets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or body protection plates, as well as communication equipment, requires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one licence. Under the German legal framework, for every licence that is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granted, an assessment is carried out by the German Government 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ascertain whether there is a clear risk that the </w:t>
      </w:r>
      <w:proofErr w:type="gramStart"/>
      <w:r w:rsidRPr="004D78CC">
        <w:rPr>
          <w:sz w:val="24"/>
          <w:szCs w:val="24"/>
        </w:rPr>
        <w:t>particular item</w:t>
      </w:r>
      <w:proofErr w:type="gramEnd"/>
      <w:r w:rsidRPr="004D78CC">
        <w:rPr>
          <w:sz w:val="24"/>
          <w:szCs w:val="24"/>
        </w:rPr>
        <w:t xml:space="preserve"> subject 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licensing would be used in the commission of genocide, crimes against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humanity or grave breaches of the four Geneva Conventions.</w:t>
      </w:r>
    </w:p>
    <w:p w14:paraId="134B73AB" w14:textId="2A019348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commentRangeStart w:id="0"/>
      <w:r w:rsidRPr="004D78CC">
        <w:rPr>
          <w:sz w:val="24"/>
          <w:szCs w:val="24"/>
        </w:rPr>
        <w:t>18. The Court in addition notes that, as stated by Germany, there has been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 significant decrease since November 2023 in the value of material for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which the licences were granted, from approximately €200 million in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October 2023 to approximately €24 million in November 2023 to approx</w:t>
      </w:r>
      <w:r>
        <w:rPr>
          <w:sz w:val="24"/>
          <w:szCs w:val="24"/>
        </w:rPr>
        <w:t>i</w:t>
      </w:r>
      <w:r w:rsidRPr="004D78CC">
        <w:rPr>
          <w:sz w:val="24"/>
          <w:szCs w:val="24"/>
        </w:rPr>
        <w:t>mately €1 million in March 2024. The Court also notes that, since 7 October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2023, according to Germany, only four licences for “war weapons” have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been granted: two for training ammunition, one for propellant charges for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test purposes, and one concerned the export of 3,000 portable anti-tank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weapons. The Court further notes that Israel had also approached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German Government in 2023 for tank ammunition and that no decision by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Respondent has thus far been made regarding this request. In addition,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according to Germany, the licensing for export of a submarine to Israel is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currently pending, as only one of the two licences required for this export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has so far been granted. Finally, the Court takes note of Germany’s statement that 98 per cent of the licences granted since 7 October 2023 concerned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“other military equipment” and not “war weapons”.</w:t>
      </w:r>
      <w:commentRangeEnd w:id="0"/>
      <w:r w:rsidR="0064747E">
        <w:rPr>
          <w:rStyle w:val="CommentReference"/>
          <w:rFonts w:asciiTheme="minorHAnsi" w:eastAsiaTheme="minorHAnsi" w:hAnsiTheme="minorHAnsi" w:cstheme="minorBidi"/>
          <w:color w:val="auto"/>
          <w:kern w:val="2"/>
          <w:lang w:eastAsia="en-US"/>
          <w14:ligatures w14:val="standardContextual"/>
        </w:rPr>
        <w:commentReference w:id="0"/>
      </w:r>
    </w:p>
    <w:p w14:paraId="0BE5733E" w14:textId="5D76F60F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 xml:space="preserve">19. </w:t>
      </w:r>
      <w:proofErr w:type="gramStart"/>
      <w:r w:rsidRPr="004D78CC">
        <w:rPr>
          <w:sz w:val="24"/>
          <w:szCs w:val="24"/>
        </w:rPr>
        <w:t>With regard to</w:t>
      </w:r>
      <w:proofErr w:type="gramEnd"/>
      <w:r w:rsidRPr="004D78CC">
        <w:rPr>
          <w:sz w:val="24"/>
          <w:szCs w:val="24"/>
        </w:rPr>
        <w:t xml:space="preserve"> Nicaragua’s request that Germany “resume its support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and financing of UNRWA in respect of its operations in Gaza” (see paragraph 11 above), the Court notes that Germany announced its decision 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suspend its contribution to UNRWA on 27 January 2024 in respect of operations in Gaza. In this regard, the Court observes, first, that contributions 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UNRWA are voluntary in nature. Secondly, it notes that, according to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information provided to it by Germany, no new payment was due from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latter in the weeks following the announcement of its decision. Finally,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Court notes that Germany stated that it has supported initiatives aimed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at funding the agency’s work, </w:t>
      </w:r>
      <w:proofErr w:type="gramStart"/>
      <w:r w:rsidRPr="004D78CC">
        <w:rPr>
          <w:sz w:val="24"/>
          <w:szCs w:val="24"/>
        </w:rPr>
        <w:t>in particular through</w:t>
      </w:r>
      <w:proofErr w:type="gramEnd"/>
      <w:r w:rsidRPr="004D78CC">
        <w:rPr>
          <w:sz w:val="24"/>
          <w:szCs w:val="24"/>
        </w:rPr>
        <w:t xml:space="preserve"> the payment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€50 million by the European Union to UNRWA on 1 March 2024, as well as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providing financial and material support to other organizations operating in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Gaza Strip.</w:t>
      </w:r>
    </w:p>
    <w:p w14:paraId="1CB43FF8" w14:textId="04B1D129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lastRenderedPageBreak/>
        <w:t xml:space="preserve">20. Based on the </w:t>
      </w:r>
      <w:proofErr w:type="gramStart"/>
      <w:r w:rsidRPr="004D78CC">
        <w:rPr>
          <w:sz w:val="24"/>
          <w:szCs w:val="24"/>
        </w:rPr>
        <w:t>factual information</w:t>
      </w:r>
      <w:proofErr w:type="gramEnd"/>
      <w:r w:rsidRPr="004D78CC">
        <w:rPr>
          <w:sz w:val="24"/>
          <w:szCs w:val="24"/>
        </w:rPr>
        <w:t xml:space="preserve"> and legal arguments presented by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Parties, the Court concludes that, at present, the circumstances are not such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as to require the exercise of its power under Article 41 of the Statute to indicate provisional measures.</w:t>
      </w:r>
    </w:p>
    <w:p w14:paraId="1BA035EF" w14:textId="53779459" w:rsid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21. As to Germany’s request that the case be removed from the List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(see paragraph 12 above), the Court notes that, as it has held in the past,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where there is a manifest lack of jurisdiction, it can remove the case from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List at the provisional measures stage (</w:t>
      </w:r>
      <w:r w:rsidRPr="004D78CC">
        <w:rPr>
          <w:i/>
          <w:iCs/>
          <w:sz w:val="24"/>
          <w:szCs w:val="24"/>
        </w:rPr>
        <w:t>Legality of Use of Force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 xml:space="preserve">(Yugoslavia </w:t>
      </w:r>
      <w:r w:rsidRPr="004D78CC">
        <w:rPr>
          <w:sz w:val="24"/>
          <w:szCs w:val="24"/>
        </w:rPr>
        <w:t xml:space="preserve">v. </w:t>
      </w:r>
      <w:r w:rsidRPr="004D78CC">
        <w:rPr>
          <w:i/>
          <w:iCs/>
          <w:sz w:val="24"/>
          <w:szCs w:val="24"/>
        </w:rPr>
        <w:t>Spain), Provisional Measures, Order of 2 June 1999, I.C.J.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Reports 1999 (II)</w:t>
      </w:r>
      <w:r w:rsidRPr="004D78CC">
        <w:rPr>
          <w:sz w:val="24"/>
          <w:szCs w:val="24"/>
        </w:rPr>
        <w:t xml:space="preserve">, p. 773, para. 35; </w:t>
      </w:r>
      <w:r w:rsidRPr="004D78CC">
        <w:rPr>
          <w:i/>
          <w:iCs/>
          <w:sz w:val="24"/>
          <w:szCs w:val="24"/>
        </w:rPr>
        <w:t>Legality of Use of Force (Yugoslavia</w:t>
      </w:r>
      <w:r w:rsidRPr="004D78CC">
        <w:rPr>
          <w:sz w:val="24"/>
          <w:szCs w:val="24"/>
        </w:rPr>
        <w:t xml:space="preserve"> v.</w:t>
      </w:r>
      <w:r>
        <w:rPr>
          <w:sz w:val="24"/>
          <w:szCs w:val="24"/>
        </w:rPr>
        <w:t xml:space="preserve"> </w:t>
      </w:r>
      <w:r w:rsidRPr="004D78CC">
        <w:rPr>
          <w:rStyle w:val="s3"/>
          <w:rFonts w:eastAsiaTheme="majorEastAsia"/>
          <w:i/>
          <w:iCs/>
          <w:sz w:val="24"/>
          <w:szCs w:val="24"/>
        </w:rPr>
        <w:t>United States of America), Provisional Measures, Order of 2 June 1999,</w:t>
      </w:r>
      <w:r>
        <w:rPr>
          <w:rStyle w:val="s3"/>
          <w:rFonts w:eastAsiaTheme="majorEastAsia"/>
          <w:i/>
          <w:iCs/>
          <w:sz w:val="24"/>
          <w:szCs w:val="24"/>
        </w:rPr>
        <w:t xml:space="preserve"> </w:t>
      </w:r>
      <w:r w:rsidRPr="004D78CC">
        <w:rPr>
          <w:rStyle w:val="s3"/>
          <w:rFonts w:eastAsiaTheme="majorEastAsia"/>
          <w:i/>
          <w:iCs/>
          <w:sz w:val="24"/>
          <w:szCs w:val="24"/>
        </w:rPr>
        <w:t xml:space="preserve">I.C.J. </w:t>
      </w:r>
      <w:r w:rsidRPr="004D78CC">
        <w:rPr>
          <w:i/>
          <w:iCs/>
          <w:sz w:val="24"/>
          <w:szCs w:val="24"/>
        </w:rPr>
        <w:t>Reports 1999 (II)</w:t>
      </w:r>
      <w:r w:rsidRPr="004D78CC">
        <w:rPr>
          <w:sz w:val="24"/>
          <w:szCs w:val="24"/>
        </w:rPr>
        <w:t xml:space="preserve">, p. 925, para. 29; </w:t>
      </w:r>
      <w:r w:rsidRPr="004D78CC">
        <w:rPr>
          <w:i/>
          <w:iCs/>
          <w:sz w:val="24"/>
          <w:szCs w:val="24"/>
        </w:rPr>
        <w:t>Immunities and Criminal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Proceedings (Equatorial Guinea</w:t>
      </w:r>
      <w:r w:rsidRPr="004D78CC">
        <w:rPr>
          <w:sz w:val="24"/>
          <w:szCs w:val="24"/>
        </w:rPr>
        <w:t xml:space="preserve"> v. </w:t>
      </w:r>
      <w:r w:rsidRPr="004D78CC">
        <w:rPr>
          <w:i/>
          <w:iCs/>
          <w:sz w:val="24"/>
          <w:szCs w:val="24"/>
        </w:rPr>
        <w:t>France), Provisional Measures, Order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of 7 December 2016, I.C.J. Reports 2016 (II)</w:t>
      </w:r>
      <w:r w:rsidRPr="004D78CC">
        <w:rPr>
          <w:sz w:val="24"/>
          <w:szCs w:val="24"/>
        </w:rPr>
        <w:t>, p. 1165, para. 70). Conversely,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where there is no such manifest lack of jurisdiction, the Court cannot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remove the case at that stage (</w:t>
      </w:r>
      <w:r w:rsidRPr="004D78CC">
        <w:rPr>
          <w:i/>
          <w:iCs/>
          <w:sz w:val="24"/>
          <w:szCs w:val="24"/>
        </w:rPr>
        <w:t>Armed Activities on the Territory of the Congo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(New Application: 2002) (Democratic Republic of the Congo</w:t>
      </w:r>
      <w:r w:rsidRPr="004D78CC">
        <w:rPr>
          <w:sz w:val="24"/>
          <w:szCs w:val="24"/>
        </w:rPr>
        <w:t xml:space="preserve"> v. </w:t>
      </w:r>
      <w:r w:rsidRPr="004D78CC">
        <w:rPr>
          <w:i/>
          <w:iCs/>
          <w:sz w:val="24"/>
          <w:szCs w:val="24"/>
        </w:rPr>
        <w:t>Rwanda),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Provisional Measures, Order of 10 July 2002, I.C.J. Reports 2002</w:t>
      </w:r>
      <w:r w:rsidRPr="004D78CC">
        <w:rPr>
          <w:sz w:val="24"/>
          <w:szCs w:val="24"/>
        </w:rPr>
        <w:t>, p. 249,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para. 91; </w:t>
      </w:r>
      <w:r w:rsidRPr="004D78CC">
        <w:rPr>
          <w:i/>
          <w:iCs/>
          <w:sz w:val="24"/>
          <w:szCs w:val="24"/>
        </w:rPr>
        <w:t>Immunities and Criminal Proceedings (Equatorial Guinea</w:t>
      </w:r>
      <w:r w:rsidRPr="004D78CC">
        <w:rPr>
          <w:sz w:val="24"/>
          <w:szCs w:val="24"/>
        </w:rPr>
        <w:t xml:space="preserve"> v.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France), Provisional Measures, Order of 7 December 2016, I.C.J. Reports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2016 (II)</w:t>
      </w:r>
      <w:r w:rsidRPr="004D78CC">
        <w:rPr>
          <w:sz w:val="24"/>
          <w:szCs w:val="24"/>
        </w:rPr>
        <w:t>, p. 1165, para. 70). In the present case, there being no manifest lack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of jurisdiction, the Court cannot accede to Germany’s request.</w:t>
      </w:r>
    </w:p>
    <w:p w14:paraId="413CA013" w14:textId="0251EA90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22. The Court recalls that, in its Order of 26 January 2024, it noted that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military operation conducted by Israel following the attack of 7 October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2023 had resulted in “a large number of deaths and injuries, as well as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massive destruction of homes, the forcible displacement of the vast majority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of the population, and extensive damage to civilian infrastructure”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(</w:t>
      </w:r>
      <w:r w:rsidRPr="004D78CC">
        <w:rPr>
          <w:i/>
          <w:iCs/>
          <w:sz w:val="24"/>
          <w:szCs w:val="24"/>
        </w:rPr>
        <w:t>Application of the Convention on the Prevention and Punishment of the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Crime of Genocide in the Gaza Strip (South Africa</w:t>
      </w:r>
      <w:r w:rsidRPr="004D78CC">
        <w:rPr>
          <w:sz w:val="24"/>
          <w:szCs w:val="24"/>
        </w:rPr>
        <w:t xml:space="preserve"> v. </w:t>
      </w:r>
      <w:r w:rsidRPr="004D78CC">
        <w:rPr>
          <w:i/>
          <w:iCs/>
          <w:sz w:val="24"/>
          <w:szCs w:val="24"/>
        </w:rPr>
        <w:t>Israel), Provisional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Measures, Order of 26 January 2024, I.C.J. Reports 2024 (I)</w:t>
      </w:r>
      <w:r w:rsidRPr="004D78CC">
        <w:rPr>
          <w:sz w:val="24"/>
          <w:szCs w:val="24"/>
        </w:rPr>
        <w:t>, p. 20, para. 46).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In addition, the Court remains deeply concerned about the catastrophic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living conditions of the Palestinians in the Gaza Strip, in particular in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view of the prolonged and widespread deprivation of food and other basic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necessities to which they have been subjected, as acknowledged by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Court in its Order of 28 March 2024 (</w:t>
      </w:r>
      <w:r w:rsidRPr="004D78CC">
        <w:rPr>
          <w:i/>
          <w:iCs/>
          <w:sz w:val="24"/>
          <w:szCs w:val="24"/>
        </w:rPr>
        <w:t>Application of the Convention on the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Prevention and Punishment of the Crime of Genocide in the Gaza Strip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(South Africa</w:t>
      </w:r>
      <w:r w:rsidRPr="004D78CC">
        <w:rPr>
          <w:sz w:val="24"/>
          <w:szCs w:val="24"/>
        </w:rPr>
        <w:t xml:space="preserve"> v. </w:t>
      </w:r>
      <w:r w:rsidRPr="004D78CC">
        <w:rPr>
          <w:i/>
          <w:iCs/>
          <w:sz w:val="24"/>
          <w:szCs w:val="24"/>
        </w:rPr>
        <w:t>Israel), Provisional Measures, Order of 28 March 2024,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I.C.J. Reports 2024 (I)</w:t>
      </w:r>
      <w:r w:rsidRPr="004D78CC">
        <w:rPr>
          <w:sz w:val="24"/>
          <w:szCs w:val="24"/>
        </w:rPr>
        <w:t>, p. 519, para.</w:t>
      </w:r>
      <w:r w:rsidRPr="004D78CC">
        <w:rPr>
          <w:i/>
          <w:iCs/>
          <w:sz w:val="24"/>
          <w:szCs w:val="24"/>
        </w:rPr>
        <w:t xml:space="preserve"> </w:t>
      </w:r>
      <w:r w:rsidRPr="004D78CC">
        <w:rPr>
          <w:sz w:val="24"/>
          <w:szCs w:val="24"/>
        </w:rPr>
        <w:t>18).</w:t>
      </w:r>
    </w:p>
    <w:p w14:paraId="5A785BD4" w14:textId="748FB6F5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23. The Court recalls that, pursuant to common Article 1 of the Geneva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Conventions, all States parties are under an obligation “to respect and 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ensure respect” for the Conventions “in all circumstances”. It follows from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that provision that every State party to these Conventions, “whether or not it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is a party to a specific conflict, is under an obligation to ensure that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requirements of the instruments in question are complied with” (</w:t>
      </w:r>
      <w:r w:rsidRPr="004D78CC">
        <w:rPr>
          <w:i/>
          <w:iCs/>
          <w:sz w:val="24"/>
          <w:szCs w:val="24"/>
        </w:rPr>
        <w:t>Legal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Consequences of the Construction of a Wall in the Occupied Palestinian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Territory, Advisory Opinion, I.C.J. Reports 2004 (I)</w:t>
      </w:r>
      <w:r w:rsidRPr="004D78CC">
        <w:rPr>
          <w:sz w:val="24"/>
          <w:szCs w:val="24"/>
        </w:rPr>
        <w:t>, pp. 199-200, para. 158).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Such an obligation “does not derive only from the Conventions themselves,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but from the general principles of humanitarian law to which the Conventions merely give specific expression” (</w:t>
      </w:r>
      <w:r w:rsidRPr="004D78CC">
        <w:rPr>
          <w:i/>
          <w:iCs/>
          <w:sz w:val="24"/>
          <w:szCs w:val="24"/>
        </w:rPr>
        <w:t>Military and Paramilitary Activities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in and against Nicaragua (Nicaragua</w:t>
      </w:r>
      <w:r w:rsidRPr="004D78CC">
        <w:rPr>
          <w:sz w:val="24"/>
          <w:szCs w:val="24"/>
        </w:rPr>
        <w:t xml:space="preserve"> v. </w:t>
      </w:r>
      <w:r w:rsidRPr="004D78CC">
        <w:rPr>
          <w:i/>
          <w:iCs/>
          <w:sz w:val="24"/>
          <w:szCs w:val="24"/>
        </w:rPr>
        <w:t>United States of America), Merits,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Judgment, I.C.J. Reports 1986</w:t>
      </w:r>
      <w:r w:rsidRPr="004D78CC">
        <w:rPr>
          <w:sz w:val="24"/>
          <w:szCs w:val="24"/>
        </w:rPr>
        <w:t>, p. 114, para. 220). With regard to the Genocide Convention, the Court has had the opportunity to observe that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obligation to prevent the commission of the crime of genocide, pursuant 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Article I, requires States parties that are aware, or that should normally have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been aware, of the serious risk that acts of genocide would have been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committed, to employ all means reasonably available to them to prevent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genocide so far as possible (</w:t>
      </w:r>
      <w:r w:rsidRPr="004D78CC">
        <w:rPr>
          <w:i/>
          <w:iCs/>
          <w:sz w:val="24"/>
          <w:szCs w:val="24"/>
        </w:rPr>
        <w:t>Application of the Convention on the Prevention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 xml:space="preserve">and Punishment of the Crime of Genocide </w:t>
      </w:r>
      <w:r w:rsidRPr="004D78CC">
        <w:rPr>
          <w:i/>
          <w:iCs/>
          <w:sz w:val="24"/>
          <w:szCs w:val="24"/>
        </w:rPr>
        <w:lastRenderedPageBreak/>
        <w:t>(Bosnia and Herzegovina</w:t>
      </w:r>
      <w:r w:rsidRPr="004D78CC">
        <w:rPr>
          <w:sz w:val="24"/>
          <w:szCs w:val="24"/>
        </w:rPr>
        <w:t xml:space="preserve"> v.</w:t>
      </w:r>
      <w:r>
        <w:rPr>
          <w:sz w:val="24"/>
          <w:szCs w:val="24"/>
        </w:rPr>
        <w:t xml:space="preserve"> </w:t>
      </w:r>
      <w:r w:rsidRPr="004D78CC">
        <w:rPr>
          <w:i/>
          <w:iCs/>
          <w:sz w:val="24"/>
          <w:szCs w:val="24"/>
        </w:rPr>
        <w:t>Serbia and Montenegro), Judgment, I.C.J. Reports 2007 (I)</w:t>
      </w:r>
      <w:r w:rsidRPr="004D78CC">
        <w:rPr>
          <w:sz w:val="24"/>
          <w:szCs w:val="24"/>
        </w:rPr>
        <w:t>, pp. 221-222,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paras. 430-431). Further, States parties are bound by the Genocide Convention not to commit any other acts enumerated in Article III (</w:t>
      </w:r>
      <w:r w:rsidRPr="004D78CC">
        <w:rPr>
          <w:i/>
          <w:iCs/>
          <w:sz w:val="24"/>
          <w:szCs w:val="24"/>
        </w:rPr>
        <w:t>ibid.</w:t>
      </w:r>
      <w:r w:rsidRPr="004D78CC">
        <w:rPr>
          <w:sz w:val="24"/>
          <w:szCs w:val="24"/>
        </w:rPr>
        <w:t>, p. 114,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para. 168).</w:t>
      </w:r>
    </w:p>
    <w:p w14:paraId="0AE4F9F7" w14:textId="35CFAE1F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commentRangeStart w:id="1"/>
      <w:r w:rsidRPr="004D78CC">
        <w:rPr>
          <w:sz w:val="24"/>
          <w:szCs w:val="24"/>
        </w:rPr>
        <w:t>24. Moreover, the Court considers it particularly important to remind all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States of their international obligations relating to the transfer of arms to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parties to an armed </w:t>
      </w:r>
      <w:proofErr w:type="gramStart"/>
      <w:r w:rsidRPr="004D78CC">
        <w:rPr>
          <w:sz w:val="24"/>
          <w:szCs w:val="24"/>
        </w:rPr>
        <w:t>conflict,</w:t>
      </w:r>
      <w:proofErr w:type="gramEnd"/>
      <w:r w:rsidRPr="004D78CC">
        <w:rPr>
          <w:sz w:val="24"/>
          <w:szCs w:val="24"/>
        </w:rPr>
        <w:t xml:space="preserve"> </w:t>
      </w:r>
      <w:proofErr w:type="gramStart"/>
      <w:r w:rsidRPr="004D78CC">
        <w:rPr>
          <w:sz w:val="24"/>
          <w:szCs w:val="24"/>
        </w:rPr>
        <w:t>in order to</w:t>
      </w:r>
      <w:proofErr w:type="gramEnd"/>
      <w:r w:rsidRPr="004D78CC">
        <w:rPr>
          <w:sz w:val="24"/>
          <w:szCs w:val="24"/>
        </w:rPr>
        <w:t xml:space="preserve"> avoid the risk that such arms might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be used to violate the above-mentioned Conventions. All these obligations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are incumbent upon Germany as a State party to the said Conventions in its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supply of arms to Israel.</w:t>
      </w:r>
      <w:commentRangeEnd w:id="1"/>
      <w:r w:rsidR="0064747E">
        <w:rPr>
          <w:rStyle w:val="CommentReference"/>
          <w:rFonts w:asciiTheme="minorHAnsi" w:eastAsiaTheme="minorHAnsi" w:hAnsiTheme="minorHAnsi" w:cstheme="minorBidi"/>
          <w:color w:val="auto"/>
          <w:kern w:val="2"/>
          <w:lang w:eastAsia="en-US"/>
          <w14:ligatures w14:val="standardContextual"/>
        </w:rPr>
        <w:commentReference w:id="1"/>
      </w:r>
    </w:p>
    <w:p w14:paraId="1EB55E58" w14:textId="48DDD94A" w:rsidR="004D78CC" w:rsidRPr="004D78CC" w:rsidRDefault="004D78CC" w:rsidP="004D78CC">
      <w:pPr>
        <w:pStyle w:val="p1"/>
        <w:spacing w:after="240"/>
        <w:rPr>
          <w:sz w:val="24"/>
          <w:szCs w:val="24"/>
        </w:rPr>
      </w:pPr>
      <w:commentRangeStart w:id="2"/>
      <w:r w:rsidRPr="004D78CC">
        <w:rPr>
          <w:sz w:val="24"/>
          <w:szCs w:val="24"/>
        </w:rPr>
        <w:t>25. The Court reaffirms that the decision given in the present proceedings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in no way prejudges the question of the jurisdiction of the Court to deal with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merits of the case or any questions relating to the admissibility of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Application or to the merits themselves. It leaves unaffected the right of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Governments of Nicaragua and Germany to submit arguments in respect of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those questions.</w:t>
      </w:r>
      <w:commentRangeEnd w:id="2"/>
      <w:r w:rsidR="0064747E">
        <w:rPr>
          <w:rStyle w:val="CommentReference"/>
          <w:rFonts w:asciiTheme="minorHAnsi" w:eastAsiaTheme="minorHAnsi" w:hAnsiTheme="minorHAnsi" w:cstheme="minorBidi"/>
          <w:color w:val="auto"/>
          <w:kern w:val="2"/>
          <w:lang w:eastAsia="en-US"/>
          <w14:ligatures w14:val="standardContextual"/>
        </w:rPr>
        <w:commentReference w:id="2"/>
      </w:r>
    </w:p>
    <w:p w14:paraId="624C3FDF" w14:textId="2C21AAC2" w:rsidR="002E3757" w:rsidRPr="004D78CC" w:rsidRDefault="004D78CC" w:rsidP="002B6CBF">
      <w:pPr>
        <w:pStyle w:val="p1"/>
        <w:spacing w:after="240"/>
        <w:rPr>
          <w:sz w:val="24"/>
          <w:szCs w:val="24"/>
        </w:rPr>
      </w:pPr>
      <w:r w:rsidRPr="004D78CC">
        <w:rPr>
          <w:sz w:val="24"/>
          <w:szCs w:val="24"/>
        </w:rPr>
        <w:t>26. For these reasons,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The Court,</w:t>
      </w:r>
      <w:r>
        <w:rPr>
          <w:sz w:val="24"/>
          <w:szCs w:val="24"/>
        </w:rPr>
        <w:t xml:space="preserve"> </w:t>
      </w:r>
      <w:proofErr w:type="gramStart"/>
      <w:r w:rsidRPr="004D78CC">
        <w:rPr>
          <w:sz w:val="24"/>
          <w:szCs w:val="24"/>
        </w:rPr>
        <w:t>By</w:t>
      </w:r>
      <w:proofErr w:type="gramEnd"/>
      <w:r w:rsidRPr="004D78CC">
        <w:rPr>
          <w:sz w:val="24"/>
          <w:szCs w:val="24"/>
        </w:rPr>
        <w:t xml:space="preserve"> fifteen votes to one,</w:t>
      </w:r>
      <w:r>
        <w:rPr>
          <w:sz w:val="24"/>
          <w:szCs w:val="24"/>
        </w:rPr>
        <w:t xml:space="preserve"> </w:t>
      </w:r>
      <w:proofErr w:type="gramStart"/>
      <w:r w:rsidRPr="004D78CC">
        <w:rPr>
          <w:i/>
          <w:iCs/>
          <w:sz w:val="24"/>
          <w:szCs w:val="24"/>
        </w:rPr>
        <w:t>Finds</w:t>
      </w:r>
      <w:proofErr w:type="gramEnd"/>
      <w:r w:rsidRPr="004D78CC">
        <w:rPr>
          <w:sz w:val="24"/>
          <w:szCs w:val="24"/>
        </w:rPr>
        <w:t xml:space="preserve"> that the circumstances, as they now present themselves to the Court,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are not such as to require the exercise of its power under Article 41 of the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Statute to indicate provisional measures.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in favour: </w:t>
      </w:r>
      <w:r w:rsidRPr="004D78CC">
        <w:rPr>
          <w:i/>
          <w:iCs/>
          <w:sz w:val="24"/>
          <w:szCs w:val="24"/>
        </w:rPr>
        <w:t>President</w:t>
      </w:r>
      <w:r w:rsidRPr="004D78CC">
        <w:rPr>
          <w:sz w:val="24"/>
          <w:szCs w:val="24"/>
        </w:rPr>
        <w:t xml:space="preserve"> Salam; </w:t>
      </w:r>
      <w:r w:rsidRPr="004D78CC">
        <w:rPr>
          <w:i/>
          <w:iCs/>
          <w:sz w:val="24"/>
          <w:szCs w:val="24"/>
        </w:rPr>
        <w:t>Vice-President</w:t>
      </w:r>
      <w:r w:rsidRPr="004D78CC">
        <w:rPr>
          <w:sz w:val="24"/>
          <w:szCs w:val="24"/>
        </w:rPr>
        <w:t xml:space="preserve"> </w:t>
      </w:r>
      <w:proofErr w:type="spellStart"/>
      <w:r w:rsidRPr="004D78CC">
        <w:rPr>
          <w:sz w:val="24"/>
          <w:szCs w:val="24"/>
        </w:rPr>
        <w:t>Sebutinde</w:t>
      </w:r>
      <w:proofErr w:type="spellEnd"/>
      <w:r w:rsidRPr="004D78CC">
        <w:rPr>
          <w:sz w:val="24"/>
          <w:szCs w:val="24"/>
        </w:rPr>
        <w:t xml:space="preserve">; </w:t>
      </w:r>
      <w:r w:rsidRPr="004D78CC">
        <w:rPr>
          <w:i/>
          <w:iCs/>
          <w:sz w:val="24"/>
          <w:szCs w:val="24"/>
        </w:rPr>
        <w:t>Judges</w:t>
      </w:r>
      <w:r w:rsidRPr="004D78CC">
        <w:rPr>
          <w:sz w:val="24"/>
          <w:szCs w:val="24"/>
        </w:rPr>
        <w:t xml:space="preserve"> Tomka,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Abraham, Yusuf, Xue, Bhandari, Iwasawa, Nolte, Charlesworth,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 xml:space="preserve">Brant, Gómez Robledo, Cleveland, </w:t>
      </w:r>
      <w:proofErr w:type="spellStart"/>
      <w:r w:rsidRPr="004D78CC">
        <w:rPr>
          <w:sz w:val="24"/>
          <w:szCs w:val="24"/>
        </w:rPr>
        <w:t>Aurescu</w:t>
      </w:r>
      <w:proofErr w:type="spellEnd"/>
      <w:r w:rsidRPr="004D78CC">
        <w:rPr>
          <w:sz w:val="24"/>
          <w:szCs w:val="24"/>
        </w:rPr>
        <w:t>, Tladi;</w:t>
      </w:r>
      <w:r>
        <w:rPr>
          <w:sz w:val="24"/>
          <w:szCs w:val="24"/>
        </w:rPr>
        <w:t xml:space="preserve"> </w:t>
      </w:r>
      <w:r w:rsidRPr="004D78CC">
        <w:rPr>
          <w:sz w:val="24"/>
          <w:szCs w:val="24"/>
        </w:rPr>
        <w:t>against:</w:t>
      </w:r>
      <w:r w:rsidRPr="004D78CC">
        <w:rPr>
          <w:i/>
          <w:iCs/>
          <w:sz w:val="24"/>
          <w:szCs w:val="24"/>
        </w:rPr>
        <w:t xml:space="preserve"> Judge</w:t>
      </w:r>
      <w:r w:rsidRPr="004D78CC">
        <w:rPr>
          <w:sz w:val="24"/>
          <w:szCs w:val="24"/>
        </w:rPr>
        <w:t xml:space="preserve"> ad hoc Al-</w:t>
      </w:r>
      <w:proofErr w:type="spellStart"/>
      <w:r w:rsidRPr="004D78CC">
        <w:rPr>
          <w:sz w:val="24"/>
          <w:szCs w:val="24"/>
        </w:rPr>
        <w:t>Khasawneh</w:t>
      </w:r>
      <w:proofErr w:type="spellEnd"/>
      <w:r w:rsidRPr="004D78CC">
        <w:rPr>
          <w:sz w:val="24"/>
          <w:szCs w:val="24"/>
        </w:rPr>
        <w:t>.</w:t>
      </w:r>
    </w:p>
    <w:sectPr w:rsidR="002E3757" w:rsidRPr="004D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scar Pearce" w:date="2025-10-01T11:29:00Z" w:initials="OP">
    <w:p w14:paraId="1D8A7C1A" w14:textId="77777777" w:rsidR="0064747E" w:rsidRDefault="0064747E" w:rsidP="0064747E">
      <w:r>
        <w:rPr>
          <w:rStyle w:val="CommentReference"/>
        </w:rPr>
        <w:annotationRef/>
      </w:r>
      <w:r>
        <w:rPr>
          <w:sz w:val="20"/>
          <w:szCs w:val="20"/>
        </w:rPr>
        <w:t>This decrease in exports from Germany reversed in the aftermath of this decision, which could undermine Germany's case at the merits stage of these proceedings.</w:t>
      </w:r>
    </w:p>
  </w:comment>
  <w:comment w:id="1" w:author="Oscar Pearce" w:date="2025-10-01T11:26:00Z" w:initials="OP">
    <w:p w14:paraId="460FBB88" w14:textId="277DAB3B" w:rsidR="0064747E" w:rsidRDefault="0064747E" w:rsidP="0064747E">
      <w:r>
        <w:rPr>
          <w:rStyle w:val="CommentReference"/>
        </w:rPr>
        <w:annotationRef/>
      </w:r>
      <w:r>
        <w:rPr>
          <w:sz w:val="20"/>
          <w:szCs w:val="20"/>
        </w:rPr>
        <w:t>Of greatest relevance here is, of course, the Arms Trade Treaty, in particular Articles 6 (which prohibits certain transfers) and 7 (which imposes certain due diligence requirements.</w:t>
      </w:r>
    </w:p>
  </w:comment>
  <w:comment w:id="2" w:author="Oscar Pearce" w:date="2025-10-01T11:30:00Z" w:initials="OP">
    <w:p w14:paraId="32EDD5DD" w14:textId="77777777" w:rsidR="0064747E" w:rsidRDefault="0064747E" w:rsidP="0064747E">
      <w:r>
        <w:rPr>
          <w:rStyle w:val="CommentReference"/>
        </w:rPr>
        <w:annotationRef/>
      </w:r>
      <w:r>
        <w:rPr>
          <w:sz w:val="20"/>
          <w:szCs w:val="20"/>
        </w:rPr>
        <w:t>As to admissibility, the so-called 'Monetary Gold Principle' is likely to be at issue. Israel is not a party to these proceedings despite arguably having legal interests at stake (ie, in a hypothetical finding that it is committing certain violations).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8A7C1A" w15:done="0"/>
  <w15:commentEx w15:paraId="460FBB88" w15:done="0"/>
  <w15:commentEx w15:paraId="32EDD5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57EA97" w16cex:dateUtc="2025-10-01T01:29:00Z"/>
  <w16cex:commentExtensible w16cex:durableId="3653080C" w16cex:dateUtc="2025-10-01T01:26:00Z"/>
  <w16cex:commentExtensible w16cex:durableId="0F9F6E08" w16cex:dateUtc="2025-10-01T0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8A7C1A" w16cid:durableId="0757EA97"/>
  <w16cid:commentId w16cid:paraId="460FBB88" w16cid:durableId="3653080C"/>
  <w16cid:commentId w16cid:paraId="32EDD5DD" w16cid:durableId="0F9F6E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scar Pearce">
    <w15:presenceInfo w15:providerId="AD" w15:userId="S::u7295835@anu.edu.au::5223642b-38e3-4f50-83c8-5f006e86a1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CC"/>
    <w:rsid w:val="001175A5"/>
    <w:rsid w:val="00296B42"/>
    <w:rsid w:val="002B6CBF"/>
    <w:rsid w:val="002E3757"/>
    <w:rsid w:val="00393640"/>
    <w:rsid w:val="004B18A3"/>
    <w:rsid w:val="004D78CC"/>
    <w:rsid w:val="0064747E"/>
    <w:rsid w:val="00D82704"/>
    <w:rsid w:val="00F1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9A662"/>
  <w15:chartTrackingRefBased/>
  <w15:docId w15:val="{B34CBD4E-2BC7-9B4A-93C4-D957EB37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8C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D78CC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5"/>
      <w:szCs w:val="15"/>
      <w:lang w:eastAsia="en-GB"/>
      <w14:ligatures w14:val="none"/>
    </w:rPr>
  </w:style>
  <w:style w:type="paragraph" w:customStyle="1" w:styleId="p2">
    <w:name w:val="p2"/>
    <w:basedOn w:val="Normal"/>
    <w:rsid w:val="004D78CC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5"/>
      <w:szCs w:val="15"/>
      <w:lang w:eastAsia="en-GB"/>
      <w14:ligatures w14:val="none"/>
    </w:rPr>
  </w:style>
  <w:style w:type="paragraph" w:customStyle="1" w:styleId="p3">
    <w:name w:val="p3"/>
    <w:basedOn w:val="Normal"/>
    <w:rsid w:val="004D78CC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5"/>
      <w:szCs w:val="15"/>
      <w:lang w:eastAsia="en-GB"/>
      <w14:ligatures w14:val="none"/>
    </w:rPr>
  </w:style>
  <w:style w:type="character" w:customStyle="1" w:styleId="s1">
    <w:name w:val="s1"/>
    <w:basedOn w:val="DefaultParagraphFont"/>
    <w:rsid w:val="004D78CC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4D78CC"/>
    <w:rPr>
      <w:rFonts w:ascii="Times New Roman" w:hAnsi="Times New Roman" w:cs="Times New Roman" w:hint="default"/>
      <w:sz w:val="15"/>
      <w:szCs w:val="15"/>
    </w:rPr>
  </w:style>
  <w:style w:type="character" w:customStyle="1" w:styleId="s3">
    <w:name w:val="s3"/>
    <w:basedOn w:val="DefaultParagraphFont"/>
    <w:rsid w:val="004D78CC"/>
    <w:rPr>
      <w:rFonts w:ascii="Times New Roman" w:hAnsi="Times New Roman" w:cs="Times New Roman" w:hint="default"/>
      <w:sz w:val="15"/>
      <w:szCs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474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4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4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4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3369</Words>
  <Characters>18433</Characters>
  <Application>Microsoft Office Word</Application>
  <DocSecurity>0</DocSecurity>
  <Lines>288</Lines>
  <Paragraphs>111</Paragraphs>
  <ScaleCrop>false</ScaleCrop>
  <Company/>
  <LinksUpToDate>false</LinksUpToDate>
  <CharactersWithSpaces>21691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Pearce</dc:creator>
  <cp:keywords/>
  <dc:description/>
  <cp:lastModifiedBy>Oscar Pearce</cp:lastModifiedBy>
  <cp:revision>3</cp:revision>
  <dcterms:created xsi:type="dcterms:W3CDTF">2025-10-01T01:25:00Z</dcterms:created>
  <dcterms:modified xsi:type="dcterms:W3CDTF">2025-10-01T01:30:00Z</dcterms:modified>
</cp:coreProperties>
</file>