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Upon arrival in Dubai, check into your hotel and take some time to relax and freshen up after your flight. In the evening, head to a local restaurant to enjoy a delicious vegetarian meal before calling it a night.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1: Arrival in Dubai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