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Zurich to Interlaken by train (approx. 2 hours)</w:t>
                    <w:br/>
                    <w:t xml:space="preserve">Travel distance: 120 km</w:t>
                    <w:br/>
                    <w:t xml:space="preserve">Experience the scenic train journey from Zurich to Interlaken. Upon arrival, check into your hotel and spend the rest of the day exploring the picturesque town nestled between Lake Thun and Lake Brienz.</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3.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3: Travel to Interlaken</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