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30 minutes</w:t>
                    <w:br/>
                    <w:t xml:space="preserve">Travel Distance: 3 km</w:t>
                    <w:br/>
                    <w:t xml:space="preserve"/>
                    <w:br/>
                    <w:t xml:space="preserve">Head to Vatican City, the smallest independent state in the world, and visit the breathtaking Sistine Chapel. Admire Michelangelo's masterpiece on the ceiling and walls of the chapel, and explore the Vatican Museums to delve into the art and history of this sacred place.</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3.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3: Vatican City and Sistine Chapel</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