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- Distance: 210 km</w:t>
                    <w:br/>
                    <w:t xml:space="preserve">- Time: 4 hours</w:t>
                    <w:br/>
                    <w:t xml:space="preserve">Travel to Nashik, a charming city known for its vineyards and religious importance. Visit a local vineyard for a tour and wine tasting experience. Enjoy the serene countryside and indulge in a peaceful evening amidst the vineyards.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5: Journey to Nashik and Vineyard Excursion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