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[FTC CAD FILE LABELING SYSTEM]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Marcus Roberts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ANY SKETCHES BEFORE FILES ARE MADE: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Alpha V1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Alpha V2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Etc.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CAD FILES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[SAVE AS.  NEVER SAVE OVER]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Very first part design: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 changes and measurement fixes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Larger structural changes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Overhaul of original design [NOTE: OVERRIDES ALL OTHER CHANGES]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[EXAMPLE]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 that has had 4 small changes and measurement fixes, 5 larger structural changes, and THEN has an overhaul will still be known as V2.0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part that has had an overhaul and THEN has 4 small changes and measurement fixes along with 5 larger structural changes will be known as V2.5.4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keep every change made, large and small.  This will keep a detailed history of your CAD efforts and synergizes with the labeling system put in place.  A good CAD file will look something like this: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V1.2.1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V1.2.3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V1.2.4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V1.2.5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V1.3.5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V2.0.1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V2.0.2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