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SuperAge — Data Asset &amp; Growth Story</w:t>
      </w:r>
    </w:p>
    <w:p>
      <w:r>
        <w:rPr>
          <w:b w:val="0"/>
          <w:i/>
          <w:color w:val="6B7280"/>
          <w:sz w:val="20"/>
        </w:rPr>
        <w:t>Slide-ready content. Numbers verified against production data as of June 12, 2026.</w:t>
      </w:r>
    </w:p>
    <w:p>
      <w:pPr>
        <w:pStyle w:val="Heading1"/>
      </w:pPr>
      <w:r>
        <w:t>1. The Profile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Profiles (including unsubscribes; ever consented, all states)</w:t>
            </w:r>
          </w:p>
        </w:tc>
        <w:tc>
          <w:tcPr>
            <w:tcW w:type="dxa" w:w="4320"/>
          </w:tcPr>
          <w:p>
            <w:r>
              <w:t>1,822,753</w:t>
            </w:r>
          </w:p>
        </w:tc>
      </w:tr>
      <w:tr>
        <w:tc>
          <w:tcPr>
            <w:tcW w:type="dxa" w:w="4320"/>
          </w:tcPr>
          <w:p>
            <w:r>
              <w:t>Consented Profiles</w:t>
            </w:r>
          </w:p>
        </w:tc>
        <w:tc>
          <w:tcPr>
            <w:tcW w:type="dxa" w:w="4320"/>
          </w:tcPr>
          <w:p>
            <w:r>
              <w:t>1,106,146</w:t>
            </w:r>
          </w:p>
        </w:tc>
      </w:tr>
      <w:tr>
        <w:tc>
          <w:tcPr>
            <w:tcW w:type="dxa" w:w="4320"/>
          </w:tcPr>
          <w:p>
            <w:r>
              <w:t>Active Consented Profiles</w:t>
            </w:r>
          </w:p>
        </w:tc>
        <w:tc>
          <w:tcPr>
            <w:tcW w:type="dxa" w:w="4320"/>
          </w:tcPr>
          <w:p>
            <w:r>
              <w:t>772,526</w:t>
            </w:r>
          </w:p>
        </w:tc>
      </w:tr>
      <w:tr>
        <w:tc>
          <w:tcPr>
            <w:tcW w:type="dxa" w:w="4320"/>
          </w:tcPr>
          <w:p>
            <w:r>
              <w:t>Openers (last 90 days)</w:t>
            </w:r>
          </w:p>
        </w:tc>
        <w:tc>
          <w:tcPr>
            <w:tcW w:type="dxa" w:w="4320"/>
          </w:tcPr>
          <w:p>
            <w:r>
              <w:t>640,668</w:t>
            </w:r>
          </w:p>
        </w:tc>
      </w:tr>
      <w:tr>
        <w:tc>
          <w:tcPr>
            <w:tcW w:type="dxa" w:w="4320"/>
          </w:tcPr>
          <w:p>
            <w:r>
              <w:t>Recently Engaged Clickers (last 90 days)</w:t>
            </w:r>
          </w:p>
        </w:tc>
        <w:tc>
          <w:tcPr>
            <w:tcW w:type="dxa" w:w="4320"/>
          </w:tcPr>
          <w:p>
            <w:r>
              <w:t>194,924</w:t>
            </w:r>
          </w:p>
        </w:tc>
      </w:tr>
    </w:tbl>
    <w:p>
      <w:pPr>
        <w:pStyle w:val="Heading1"/>
      </w:pPr>
      <w:r>
        <w:t>2. Fields per Profile — 25+ Attributes Across 8 Categories</w:t>
      </w:r>
    </w:p>
    <w:p>
      <w:r>
        <w:rPr>
          <w:b/>
        </w:rPr>
        <w:t>Demographics</w:t>
      </w:r>
      <w:r>
        <w:br/>
        <w:t>Age · Date of Birth · Gender · Marital Status · Education Level · Financial Situation</w:t>
      </w:r>
    </w:p>
    <w:p>
      <w:r>
        <w:rPr>
          <w:b/>
        </w:rPr>
        <w:t>Health &amp; Lifestyle</w:t>
      </w:r>
      <w:r>
        <w:br/>
        <w:t>Exercise Frequency · Sleep Hours · Diet Description · Alcohol Frequency · Smoking Status · Social Frequency · Stress Impact</w:t>
      </w:r>
    </w:p>
    <w:p>
      <w:r>
        <w:rPr>
          <w:b/>
        </w:rPr>
        <w:t>Biometric &amp; Clinical</w:t>
      </w:r>
      <w:r>
        <w:br/>
        <w:t>Diastolic Blood Pressure · Obesity / BMI Indicator · Health Conditions · Longevity Score (composite, 0–100)</w:t>
      </w:r>
    </w:p>
    <w:p>
      <w:r>
        <w:rPr>
          <w:b/>
        </w:rPr>
        <w:t>Family Health History</w:t>
      </w:r>
      <w:r>
        <w:br/>
        <w:t>Mother's Independent Age · Grandparents' Age at Death · Family Cancer Count</w:t>
      </w:r>
    </w:p>
    <w:p>
      <w:r>
        <w:rPr>
          <w:b/>
        </w:rPr>
        <w:t>Safety &amp; Risk</w:t>
      </w:r>
      <w:r>
        <w:br/>
        <w:t>Traffic Incidents (last 5 years)</w:t>
      </w:r>
    </w:p>
    <w:p>
      <w:r>
        <w:rPr>
          <w:b/>
        </w:rPr>
        <w:t>Acquisition</w:t>
      </w:r>
      <w:r>
        <w:br/>
        <w:t>Source / Channel · Acquisition Date</w:t>
      </w:r>
    </w:p>
    <w:p>
      <w:r>
        <w:rPr>
          <w:b/>
        </w:rPr>
        <w:t>Engagement &amp; Behavioral</w:t>
      </w:r>
      <w:r>
        <w:br/>
        <w:t>Engagement Segment · Open History · Click History · Days Active</w:t>
      </w:r>
    </w:p>
    <w:p>
      <w:r>
        <w:rPr>
          <w:b/>
        </w:rPr>
        <w:t>Lifecycle</w:t>
      </w:r>
      <w:r>
        <w:br/>
        <w:t>Subscribe Date · Unsubscribe Date · Current State</w:t>
      </w:r>
    </w:p>
    <w:p>
      <w:pPr>
        <w:pStyle w:val="Heading1"/>
      </w:pPr>
      <w:r>
        <w:t>3. Health Data Coverage</w:t>
      </w:r>
    </w:p>
    <w:p>
      <w:r>
        <w:rPr>
          <w:b/>
          <w:i w:val="0"/>
        </w:rPr>
        <w:t>10 validated health attributes per profile.</w:t>
      </w:r>
    </w:p>
    <w:p>
      <w:pPr>
        <w:spacing w:before="120" w:after="120"/>
        <w:ind w:left="504"/>
      </w:pPr>
      <w:r>
        <w:rPr>
          <w:i/>
        </w:rPr>
        <w:t>49.1% (896,299 out of 1,822,753 total profiles) carry validated health data — a clinically meaningful health dataset at near-million scale, including biometric (blood pressure, BMI) and behavioral risk factors (smoking, alcohol, exercise) used in actuarial and longevity research models.</w:t>
      </w:r>
    </w:p>
    <w:p>
      <w:r>
        <w:rPr>
          <w:b/>
          <w:i w:val="0"/>
        </w:rPr>
        <w:t>Health attributes captured:</w:t>
      </w:r>
    </w:p>
    <w:p>
      <w:pPr>
        <w:pStyle w:val="ListBullet"/>
      </w:pPr>
      <w:r>
        <w:t>Exercise Frequency</w:t>
      </w:r>
    </w:p>
    <w:p>
      <w:pPr>
        <w:pStyle w:val="ListBullet"/>
      </w:pPr>
      <w:r>
        <w:t>Sleep Hours</w:t>
      </w:r>
    </w:p>
    <w:p>
      <w:pPr>
        <w:pStyle w:val="ListBullet"/>
      </w:pPr>
      <w:r>
        <w:t>Diet Description</w:t>
      </w:r>
    </w:p>
    <w:p>
      <w:pPr>
        <w:pStyle w:val="ListBullet"/>
      </w:pPr>
      <w:r>
        <w:t>Alcohol Frequency</w:t>
      </w:r>
    </w:p>
    <w:p>
      <w:pPr>
        <w:pStyle w:val="ListBullet"/>
      </w:pPr>
      <w:r>
        <w:t>Smoking Status</w:t>
      </w:r>
    </w:p>
    <w:p>
      <w:pPr>
        <w:pStyle w:val="ListBullet"/>
      </w:pPr>
      <w:r>
        <w:t>Stress Impact</w:t>
      </w:r>
    </w:p>
    <w:p>
      <w:pPr>
        <w:pStyle w:val="ListBullet"/>
      </w:pPr>
      <w:r>
        <w:t>Diastolic Blood Pressure</w:t>
      </w:r>
    </w:p>
    <w:p>
      <w:pPr>
        <w:pStyle w:val="ListBullet"/>
      </w:pPr>
      <w:r>
        <w:t>Obesity / BMI Indicator</w:t>
      </w:r>
    </w:p>
    <w:p>
      <w:pPr>
        <w:pStyle w:val="ListBullet"/>
      </w:pPr>
      <w:r>
        <w:t>Health Conditions</w:t>
      </w:r>
    </w:p>
    <w:p>
      <w:pPr>
        <w:pStyle w:val="ListBullet"/>
      </w:pPr>
      <w:r>
        <w:t>Longevity Score (composite, 0–100)</w:t>
      </w:r>
    </w:p>
    <w:p>
      <w:pPr>
        <w:pStyle w:val="Heading1"/>
      </w:pPr>
      <w:r>
        <w:t>4. Subscriber Growth — 5-Month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 Start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Active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MoM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MoM %</w:t>
            </w:r>
          </w:p>
        </w:tc>
      </w:tr>
      <w:tr>
        <w:tc>
          <w:tcPr>
            <w:tcW w:type="dxa" w:w="2160"/>
          </w:tcPr>
          <w:p>
            <w:r>
              <w:t>Jan 1, 2026</w:t>
            </w:r>
          </w:p>
        </w:tc>
        <w:tc>
          <w:tcPr>
            <w:tcW w:type="dxa" w:w="2160"/>
          </w:tcPr>
          <w:p>
            <w:r>
              <w:t>1,076,055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Feb 1, 2026</w:t>
            </w:r>
          </w:p>
        </w:tc>
        <w:tc>
          <w:tcPr>
            <w:tcW w:type="dxa" w:w="2160"/>
          </w:tcPr>
          <w:p>
            <w:r>
              <w:t>1,077,202</w:t>
            </w:r>
          </w:p>
        </w:tc>
        <w:tc>
          <w:tcPr>
            <w:tcW w:type="dxa" w:w="2160"/>
          </w:tcPr>
          <w:p>
            <w:r>
              <w:t>+1,147</w:t>
            </w:r>
          </w:p>
        </w:tc>
        <w:tc>
          <w:tcPr>
            <w:tcW w:type="dxa" w:w="2160"/>
          </w:tcPr>
          <w:p>
            <w:r>
              <w:t>+0.11%</w:t>
            </w:r>
          </w:p>
        </w:tc>
      </w:tr>
      <w:tr>
        <w:tc>
          <w:tcPr>
            <w:tcW w:type="dxa" w:w="2160"/>
          </w:tcPr>
          <w:p>
            <w:r>
              <w:t>Mar 1, 2026</w:t>
            </w:r>
          </w:p>
        </w:tc>
        <w:tc>
          <w:tcPr>
            <w:tcW w:type="dxa" w:w="2160"/>
          </w:tcPr>
          <w:p>
            <w:r>
              <w:t>1,088,742</w:t>
            </w:r>
          </w:p>
        </w:tc>
        <w:tc>
          <w:tcPr>
            <w:tcW w:type="dxa" w:w="2160"/>
          </w:tcPr>
          <w:p>
            <w:r>
              <w:t>+11,540</w:t>
            </w:r>
          </w:p>
        </w:tc>
        <w:tc>
          <w:tcPr>
            <w:tcW w:type="dxa" w:w="2160"/>
          </w:tcPr>
          <w:p>
            <w:r>
              <w:t>+1.07%</w:t>
            </w:r>
          </w:p>
        </w:tc>
      </w:tr>
      <w:tr>
        <w:tc>
          <w:tcPr>
            <w:tcW w:type="dxa" w:w="2160"/>
          </w:tcPr>
          <w:p>
            <w:r>
              <w:t>Apr 1, 2026</w:t>
            </w:r>
          </w:p>
        </w:tc>
        <w:tc>
          <w:tcPr>
            <w:tcW w:type="dxa" w:w="2160"/>
          </w:tcPr>
          <w:p>
            <w:r>
              <w:t>1,093,187</w:t>
            </w:r>
          </w:p>
        </w:tc>
        <w:tc>
          <w:tcPr>
            <w:tcW w:type="dxa" w:w="2160"/>
          </w:tcPr>
          <w:p>
            <w:r>
              <w:t>+4,445</w:t>
            </w:r>
          </w:p>
        </w:tc>
        <w:tc>
          <w:tcPr>
            <w:tcW w:type="dxa" w:w="2160"/>
          </w:tcPr>
          <w:p>
            <w:r>
              <w:t>+0.41%</w:t>
            </w:r>
          </w:p>
        </w:tc>
      </w:tr>
      <w:tr>
        <w:tc>
          <w:tcPr>
            <w:tcW w:type="dxa" w:w="2160"/>
          </w:tcPr>
          <w:p>
            <w:r>
              <w:t>May 1, 2026</w:t>
            </w:r>
          </w:p>
        </w:tc>
        <w:tc>
          <w:tcPr>
            <w:tcW w:type="dxa" w:w="2160"/>
          </w:tcPr>
          <w:p>
            <w:r>
              <w:t>1,108,740</w:t>
            </w:r>
          </w:p>
        </w:tc>
        <w:tc>
          <w:tcPr>
            <w:tcW w:type="dxa" w:w="2160"/>
          </w:tcPr>
          <w:p>
            <w:r>
              <w:t>+15,553</w:t>
            </w:r>
          </w:p>
        </w:tc>
        <w:tc>
          <w:tcPr>
            <w:tcW w:type="dxa" w:w="2160"/>
          </w:tcPr>
          <w:p>
            <w:r>
              <w:t>+1.42%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growth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Key observations:</w:t>
      </w:r>
    </w:p>
    <w:p>
      <w:pPr>
        <w:pStyle w:val="ListBullet"/>
      </w:pPr>
      <w:r>
        <w:t>5-month average MoM: +0.75% (~+8,171 subs / month).</w:t>
      </w:r>
    </w:p>
    <w:p>
      <w:pPr>
        <w:pStyle w:val="ListBullet"/>
      </w:pPr>
      <w:r>
        <w:t>Peak months: Mar (+1.07%) and May (+1.42%) — driven by campaign pushes.</w:t>
      </w:r>
    </w:p>
    <w:p>
      <w:pPr>
        <w:pStyle w:val="ListBullet"/>
      </w:pPr>
      <w:r>
        <w:t>Variance is the story: growth is real but campaign-dependent; needs a consistent driver. Games is that lever.</w:t>
      </w:r>
    </w:p>
    <w:p>
      <w:pPr>
        <w:pStyle w:val="Heading1"/>
      </w:pPr>
      <w:r>
        <w:t>5. Games — Validated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Paid ticket buyers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Waitlist signups (closed)</w:t>
            </w:r>
          </w:p>
        </w:tc>
        <w:tc>
          <w:tcPr>
            <w:tcW w:type="dxa" w:w="4320"/>
          </w:tcPr>
          <w:p>
            <w:r>
              <w:t>3,190</w:t>
            </w:r>
          </w:p>
        </w:tc>
      </w:tr>
      <w:tr>
        <w:tc>
          <w:tcPr>
            <w:tcW w:type="dxa" w:w="4320"/>
          </w:tcPr>
          <w:p>
            <w:r>
              <w:t>Landing events (52 days, Apr 22 – Jun 12)</w:t>
            </w:r>
          </w:p>
        </w:tc>
        <w:tc>
          <w:tcPr>
            <w:tcW w:type="dxa" w:w="4320"/>
          </w:tcPr>
          <w:p>
            <w:r>
              <w:t>45,585</w:t>
            </w:r>
          </w:p>
        </w:tc>
      </w:tr>
      <w:tr>
        <w:tc>
          <w:tcPr>
            <w:tcW w:type="dxa" w:w="4320"/>
          </w:tcPr>
          <w:p>
            <w:r>
              <w:t>Current run-rate</w:t>
            </w:r>
          </w:p>
        </w:tc>
        <w:tc>
          <w:tcPr>
            <w:tcW w:type="dxa" w:w="4320"/>
          </w:tcPr>
          <w:p>
            <w:r>
              <w:t>~17,000 events / month</w:t>
            </w:r>
          </w:p>
        </w:tc>
      </w:tr>
      <w:tr>
        <w:tc>
          <w:tcPr>
            <w:tcW w:type="dxa" w:w="4320"/>
          </w:tcPr>
          <w:p>
            <w:r>
              <w:t>Site conversion (events → paid)</w:t>
            </w:r>
          </w:p>
        </w:tc>
        <w:tc>
          <w:tcPr>
            <w:tcW w:type="dxa" w:w="4320"/>
          </w:tcPr>
          <w:p>
            <w:r>
              <w:t>0.316% (1 buyer per 317 events)</w:t>
            </w:r>
          </w:p>
        </w:tc>
      </w:tr>
    </w:tbl>
    <w:p>
      <w:r>
        <w:rPr>
          <w:b w:val="0"/>
          <w:i/>
        </w:rPr>
        <w:t>The funnel is real and measurable — not hypothetical.</w:t>
      </w:r>
    </w:p>
    <w:p>
      <w:pPr>
        <w:pStyle w:val="Heading1"/>
      </w:pPr>
      <w:r>
        <w:t>6. Games — Two-Fold Value to SuperAge</w:t>
      </w:r>
    </w:p>
    <w:p>
      <w:r>
        <w:rPr>
          <w:b/>
          <w:i w:val="0"/>
        </w:rPr>
        <w:t>Acquisition (net-new subscribers driven by Games):</w:t>
      </w:r>
    </w:p>
    <w:p>
      <w:pPr>
        <w:pStyle w:val="ListBullet"/>
      </w:pPr>
      <w:r>
        <w:t>8,975 partner-brand clickers (HealthBrief + AllHealthy, time-stamped).</w:t>
      </w:r>
    </w:p>
    <w:p>
      <w:pPr>
        <w:pStyle w:val="ListBullet"/>
      </w:pPr>
      <w:r>
        <w:t>102 subscribed to SuperAge AFTER clicking Games and are still consented.</w:t>
      </w:r>
    </w:p>
    <w:p>
      <w:pPr>
        <w:pStyle w:val="ListBullet"/>
      </w:pPr>
      <w:r>
        <w:t>1.14% gross acquisition rate / 2.21% on net-new-eligible audience.</w:t>
      </w:r>
    </w:p>
    <w:p>
      <w:r>
        <w:rPr>
          <w:b/>
          <w:i w:val="0"/>
        </w:rPr>
        <w:t>Retention / Engagement (existing subscribers re-engaging with brand):</w:t>
      </w:r>
    </w:p>
    <w:p>
      <w:pPr>
        <w:pStyle w:val="ListBullet"/>
      </w:pPr>
      <w:r>
        <w:t>4,363 existing SuperAge subscribers clicked Games URLs from partner-brand campaigns.</w:t>
      </w:r>
    </w:p>
    <w:p>
      <w:pPr>
        <w:pStyle w:val="ListBullet"/>
      </w:pPr>
      <w:r>
        <w:t>That's 48.6% of all Games clickers — Games is a powerful re-engagement signal for the existing list.</w:t>
      </w:r>
    </w:p>
    <w:p>
      <w:pPr>
        <w:pStyle w:val="Heading1"/>
      </w:pPr>
      <w:r>
        <w:t>7. Projections — Primary Case</w:t>
      </w:r>
    </w:p>
    <w:p>
      <w:pPr>
        <w:pStyle w:val="Heading2"/>
      </w:pPr>
      <w:r>
        <w:t>7a. 3-Month Subscriber Projection (Jul → Sep 2026)</w:t>
      </w:r>
    </w:p>
    <w:p>
      <w:r>
        <w:rPr>
          <w:b w:val="0"/>
          <w:i/>
        </w:rPr>
        <w:t>Starting base: 1,108,358 active subscribers (Jun 1, 2026)</w:t>
      </w:r>
    </w:p>
    <w:p>
      <w:pPr>
        <w:pStyle w:val="ListBullet"/>
      </w:pPr>
      <w:r>
        <w:t>Baseline: +0.60% / mo (return to the historical 6-month average)</w:t>
      </w:r>
    </w:p>
    <w:p>
      <w:pPr>
        <w:pStyle w:val="ListBullet"/>
      </w:pPr>
      <w:r>
        <w:t>Games adds: +114 net-new / mo from scaled partner activation</w:t>
      </w:r>
    </w:p>
    <w:p>
      <w:pPr>
        <w:pStyle w:val="ListBullet"/>
      </w:pPr>
      <w:r>
        <w:t>Net change: ~+6,765 / 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Active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MoM %</w:t>
            </w:r>
          </w:p>
        </w:tc>
      </w:tr>
      <w:tr>
        <w:tc>
          <w:tcPr>
            <w:tcW w:type="dxa" w:w="2880"/>
          </w:tcPr>
          <w:p>
            <w:r>
              <w:t>Jul 1, 2026</w:t>
            </w:r>
          </w:p>
        </w:tc>
        <w:tc>
          <w:tcPr>
            <w:tcW w:type="dxa" w:w="2880"/>
          </w:tcPr>
          <w:p>
            <w:r>
              <w:t>1,114,565</w:t>
            </w:r>
          </w:p>
        </w:tc>
        <w:tc>
          <w:tcPr>
            <w:tcW w:type="dxa" w:w="2880"/>
          </w:tcPr>
          <w:p>
            <w:r>
              <w:t>+0.56%</w:t>
            </w:r>
          </w:p>
        </w:tc>
      </w:tr>
      <w:tr>
        <w:tc>
          <w:tcPr>
            <w:tcW w:type="dxa" w:w="2880"/>
          </w:tcPr>
          <w:p>
            <w:r>
              <w:t>Aug 1, 2026</w:t>
            </w:r>
          </w:p>
        </w:tc>
        <w:tc>
          <w:tcPr>
            <w:tcW w:type="dxa" w:w="2880"/>
          </w:tcPr>
          <w:p>
            <w:r>
              <w:t>1,122,367</w:t>
            </w:r>
          </w:p>
        </w:tc>
        <w:tc>
          <w:tcPr>
            <w:tcW w:type="dxa" w:w="2880"/>
          </w:tcPr>
          <w:p>
            <w:r>
              <w:t>+0.70%</w:t>
            </w:r>
          </w:p>
        </w:tc>
      </w:tr>
      <w:tr>
        <w:tc>
          <w:tcPr>
            <w:tcW w:type="dxa" w:w="2880"/>
          </w:tcPr>
          <w:p>
            <w:r>
              <w:t>Sep 1, 2026</w:t>
            </w:r>
          </w:p>
        </w:tc>
        <w:tc>
          <w:tcPr>
            <w:tcW w:type="dxa" w:w="2880"/>
          </w:tcPr>
          <w:p>
            <w:r>
              <w:t>1,128,778</w:t>
            </w:r>
          </w:p>
        </w:tc>
        <w:tc>
          <w:tcPr>
            <w:tcW w:type="dxa" w:w="2880"/>
          </w:tcPr>
          <w:p>
            <w:r>
              <w:t>+0.57%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3mo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504"/>
      </w:pPr>
      <w:r>
        <w:rPr>
          <w:i/>
        </w:rPr>
        <w:t>3-month outcome: +20,420 subs (+1.84%) — Growth returns to historical norm with modest Games activation. This is the case to plan against.</w:t>
      </w:r>
    </w:p>
    <w:p>
      <w:pPr>
        <w:pStyle w:val="Heading2"/>
      </w:pPr>
      <w:r>
        <w:t>7b. Games Ticket Sales — 5 Months to November Event</w:t>
      </w:r>
    </w:p>
    <w:p>
      <w:r>
        <w:rPr>
          <w:b w:val="0"/>
          <w:i/>
        </w:rPr>
        <w:t>Public launch + light paid acquisition. Conversion held at observed 0.316%.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Cumulative Paid Buyers</w:t>
            </w:r>
          </w:p>
        </w:tc>
      </w:tr>
      <w:tr>
        <w:tc>
          <w:tcPr>
            <w:tcW w:type="dxa" w:w="4320"/>
          </w:tcPr>
          <w:p>
            <w:r>
              <w:t>Jun (today)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Jul</w:t>
            </w:r>
          </w:p>
        </w:tc>
        <w:tc>
          <w:tcPr>
            <w:tcW w:type="dxa" w:w="4320"/>
          </w:tcPr>
          <w:p>
            <w:r>
              <w:t>~210</w:t>
            </w:r>
          </w:p>
        </w:tc>
      </w:tr>
      <w:tr>
        <w:tc>
          <w:tcPr>
            <w:tcW w:type="dxa" w:w="4320"/>
          </w:tcPr>
          <w:p>
            <w:r>
              <w:t>Aug</w:t>
            </w:r>
          </w:p>
        </w:tc>
        <w:tc>
          <w:tcPr>
            <w:tcW w:type="dxa" w:w="4320"/>
          </w:tcPr>
          <w:p>
            <w:r>
              <w:t>~380</w:t>
            </w:r>
          </w:p>
        </w:tc>
      </w:tr>
      <w:tr>
        <w:tc>
          <w:tcPr>
            <w:tcW w:type="dxa" w:w="4320"/>
          </w:tcPr>
          <w:p>
            <w:r>
              <w:t>Sep</w:t>
            </w:r>
          </w:p>
        </w:tc>
        <w:tc>
          <w:tcPr>
            <w:tcW w:type="dxa" w:w="4320"/>
          </w:tcPr>
          <w:p>
            <w:r>
              <w:t>~620</w:t>
            </w:r>
          </w:p>
        </w:tc>
      </w:tr>
      <w:tr>
        <w:tc>
          <w:tcPr>
            <w:tcW w:type="dxa" w:w="4320"/>
          </w:tcPr>
          <w:p>
            <w:r>
              <w:t>Oct</w:t>
            </w:r>
          </w:p>
        </w:tc>
        <w:tc>
          <w:tcPr>
            <w:tcW w:type="dxa" w:w="4320"/>
          </w:tcPr>
          <w:p>
            <w:r>
              <w:t>~1,100</w:t>
            </w:r>
          </w:p>
        </w:tc>
      </w:tr>
      <w:tr>
        <w:tc>
          <w:tcPr>
            <w:tcW w:type="dxa" w:w="4320"/>
          </w:tcPr>
          <w:p>
            <w:r>
              <w:t>Nov (event)</w:t>
            </w:r>
          </w:p>
        </w:tc>
        <w:tc>
          <w:tcPr>
            <w:tcW w:type="dxa" w:w="4320"/>
          </w:tcPr>
          <w:p>
            <w:r>
              <w:t>~1,750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tickets_5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504"/>
      </w:pPr>
      <w:r>
        <w:rPr>
          <w:i/>
        </w:rPr>
        <w:t>S-curve concentrates ~50% of sales in the final 8 weeks — standard event-ticketing dynamic.</w:t>
      </w:r>
    </w:p>
    <w:p>
      <w:pPr>
        <w:pStyle w:val="Heading2"/>
      </w:pPr>
      <w:r>
        <w:t>7c. Net-New SuperAge Acquisition Driven by Games (5-Month View)</w:t>
      </w:r>
    </w:p>
    <w:p>
      <w:r>
        <w:rPr>
          <w:b w:val="0"/>
          <w:i/>
        </w:rPr>
        <w:t>Using the validated 1.14% net-new acquisition rate from partner-brand Games clickers.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Cumulative Net-New SuperAge Subscribers</w:t>
            </w:r>
          </w:p>
        </w:tc>
      </w:tr>
      <w:tr>
        <w:tc>
          <w:tcPr>
            <w:tcW w:type="dxa" w:w="4320"/>
          </w:tcPr>
          <w:p>
            <w:r>
              <w:t>Jun (today)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Jul</w:t>
            </w:r>
          </w:p>
        </w:tc>
        <w:tc>
          <w:tcPr>
            <w:tcW w:type="dxa" w:w="4320"/>
          </w:tcPr>
          <w:p>
            <w:r>
              <w:t>~95</w:t>
            </w:r>
          </w:p>
        </w:tc>
      </w:tr>
      <w:tr>
        <w:tc>
          <w:tcPr>
            <w:tcW w:type="dxa" w:w="4320"/>
          </w:tcPr>
          <w:p>
            <w:r>
              <w:t>Aug</w:t>
            </w:r>
          </w:p>
        </w:tc>
        <w:tc>
          <w:tcPr>
            <w:tcW w:type="dxa" w:w="4320"/>
          </w:tcPr>
          <w:p>
            <w:r>
              <w:t>~200</w:t>
            </w:r>
          </w:p>
        </w:tc>
      </w:tr>
      <w:tr>
        <w:tc>
          <w:tcPr>
            <w:tcW w:type="dxa" w:w="4320"/>
          </w:tcPr>
          <w:p>
            <w:r>
              <w:t>Sep</w:t>
            </w:r>
          </w:p>
        </w:tc>
        <w:tc>
          <w:tcPr>
            <w:tcW w:type="dxa" w:w="4320"/>
          </w:tcPr>
          <w:p>
            <w:r>
              <w:t>~320</w:t>
            </w:r>
          </w:p>
        </w:tc>
      </w:tr>
      <w:tr>
        <w:tc>
          <w:tcPr>
            <w:tcW w:type="dxa" w:w="4320"/>
          </w:tcPr>
          <w:p>
            <w:r>
              <w:t>Oct</w:t>
            </w:r>
          </w:p>
        </w:tc>
        <w:tc>
          <w:tcPr>
            <w:tcW w:type="dxa" w:w="4320"/>
          </w:tcPr>
          <w:p>
            <w:r>
              <w:t>~450</w:t>
            </w:r>
          </w:p>
        </w:tc>
      </w:tr>
      <w:tr>
        <w:tc>
          <w:tcPr>
            <w:tcW w:type="dxa" w:w="4320"/>
          </w:tcPr>
          <w:p>
            <w:r>
              <w:t>Nov</w:t>
            </w:r>
          </w:p>
        </w:tc>
        <w:tc>
          <w:tcPr>
            <w:tcW w:type="dxa" w:w="4320"/>
          </w:tcPr>
          <w:p>
            <w:r>
              <w:t>~570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67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acquisition_5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504"/>
      </w:pPr>
      <w:r>
        <w:rPr>
          <w:i/>
        </w:rPr>
        <w:t>~570 net-new SuperAge subscribers acquired through Games campaigns by event date.</w:t>
      </w:r>
    </w:p>
    <w:p>
      <w:pPr>
        <w:pStyle w:val="Heading1"/>
      </w:pPr>
      <w:r>
        <w:t>8. The Strategic Story</w:t>
      </w:r>
    </w:p>
    <w:p>
      <w:pPr>
        <w:spacing w:before="120" w:after="120"/>
        <w:ind w:left="504"/>
      </w:pPr>
      <w:r>
        <w:rPr>
          <w:i/>
        </w:rPr>
        <w:t>Today: 1.1M consented profiles, 49.1% health-data-validated, growth averaged +0.75% MoM over 5 months but is campaign-dependent.</w:t>
      </w:r>
    </w:p>
    <w:p>
      <w:r>
        <w:rPr>
          <w:b/>
          <w:i w:val="0"/>
        </w:rPr>
        <w:t>Primary case with Games activation:</w:t>
      </w:r>
    </w:p>
    <w:p>
      <w:pPr>
        <w:pStyle w:val="ListBullet"/>
      </w:pPr>
      <w:r>
        <w:t>Sep 1, 2026 → 1,128,778 active subscribers (+20,420, +1.84% over 3 months) — restoring growth to the 6-month historical norm.</w:t>
      </w:r>
    </w:p>
    <w:p>
      <w:pPr>
        <w:pStyle w:val="ListBullet"/>
      </w:pPr>
      <w:r>
        <w:t>Nov event → ~1,750 paid Games buyers (5× current customer base).</w:t>
      </w:r>
    </w:p>
    <w:p>
      <w:pPr>
        <w:pStyle w:val="ListBullet"/>
      </w:pPr>
      <w:r>
        <w:t>Games campaigns drive ~570 net-new SuperAge subscribers over the 5-month run-up.</w:t>
      </w:r>
    </w:p>
    <w:p>
      <w:r>
        <w:rPr>
          <w:b/>
          <w:i w:val="0"/>
        </w:rPr>
        <w:t>Why the primary case is defensible:</w:t>
      </w:r>
    </w:p>
    <w:p>
      <w:pPr>
        <w:pStyle w:val="ListBullet"/>
      </w:pPr>
      <w:r>
        <w:t>0.316% Games landing-event-to-paid conversion (measured)</w:t>
      </w:r>
    </w:p>
    <w:p>
      <w:pPr>
        <w:pStyle w:val="ListBullet"/>
      </w:pPr>
      <w:r>
        <w:t>1.14% Games-click-to-SuperAge-subscriber acquisition (measured)</w:t>
      </w:r>
    </w:p>
    <w:p>
      <w:pPr>
        <w:pStyle w:val="ListBullet"/>
      </w:pPr>
      <w:r>
        <w:t>48.6% Games-click-to-existing-sub retention engagement (measured)</w:t>
      </w:r>
    </w:p>
    <w:p>
      <w:pPr>
        <w:pStyle w:val="ListBullet"/>
      </w:pPr>
      <w:r>
        <w:t>+0.60% MoM baseline is the historical 6-month average — not a stretch assumption</w:t>
      </w:r>
    </w:p>
    <w:p>
      <w:pPr>
        <w:pStyle w:val="ListBullet"/>
      </w:pPr>
      <w:r>
        <w:t>November event is the inflection point — 5 months of build with measurable funnel mechanics</w:t>
      </w:r>
    </w:p>
    <w:p>
      <w:pPr>
        <w:pStyle w:val="Heading1"/>
      </w:pPr>
      <w:r>
        <w:t>9. Data Licensing Position</w:t>
      </w:r>
    </w:p>
    <w:p>
      <w:pPr>
        <w:spacing w:before="120" w:after="120"/>
        <w:ind w:left="504"/>
      </w:pPr>
      <w:r>
        <w:rPr>
          <w:i/>
        </w:rPr>
        <w:t>All data will be aggregated and de-identified in packaging for licensing.</w:t>
      </w:r>
    </w:p>
    <w:p>
      <w:pPr>
        <w:pStyle w:val="ListBullet"/>
      </w:pPr>
      <w:r>
        <w:t>1.1M consented profiles with 25+ attributes spanning demographics, behavior, lifestyle, and biometrics.</w:t>
      </w:r>
    </w:p>
    <w:p>
      <w:pPr>
        <w:pStyle w:val="ListBullet"/>
      </w:pPr>
      <w:r>
        <w:t>Industry-standard k-anonymity safeguard (minimum bucket size = 25 profiles) ensures privacy in every export.</w:t>
      </w:r>
    </w:p>
    <w:p>
      <w:pPr>
        <w:pStyle w:val="ListBullet"/>
      </w:pPr>
      <w:r>
        <w:t>Comparable to Truveta, Wirestock, and Protégé in scale and depth — distinguished by behavioral + longitudinal engagement signal (open / click history per subscriber over 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