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C2427" w14:textId="77777777" w:rsidR="00323873" w:rsidRPr="00323873" w:rsidRDefault="00323873" w:rsidP="00323873">
      <w:pPr>
        <w:rPr>
          <w:b/>
          <w:bCs/>
        </w:rPr>
      </w:pPr>
      <w:r w:rsidRPr="00323873">
        <w:rPr>
          <w:b/>
          <w:bCs/>
        </w:rPr>
        <w:t>Financial Performance Analysis</w:t>
      </w:r>
    </w:p>
    <w:p w14:paraId="1A539079" w14:textId="77777777" w:rsidR="00323873" w:rsidRPr="00323873" w:rsidRDefault="00323873" w:rsidP="00323873">
      <w:pPr>
        <w:rPr>
          <w:b/>
          <w:bCs/>
        </w:rPr>
      </w:pPr>
      <w:r w:rsidRPr="00323873">
        <w:rPr>
          <w:b/>
          <w:bCs/>
        </w:rPr>
        <w:t>Adani Green</w:t>
      </w:r>
    </w:p>
    <w:p w14:paraId="12DA38CE" w14:textId="77777777" w:rsidR="00323873" w:rsidRPr="00323873" w:rsidRDefault="00323873" w:rsidP="00323873">
      <w:pPr>
        <w:numPr>
          <w:ilvl w:val="0"/>
          <w:numId w:val="1"/>
        </w:numPr>
      </w:pPr>
      <w:r w:rsidRPr="00323873">
        <w:rPr>
          <w:b/>
          <w:bCs/>
        </w:rPr>
        <w:t>Revenue and Profit Trends (2020–2024):</w:t>
      </w:r>
    </w:p>
    <w:p w14:paraId="58C1F390" w14:textId="77777777" w:rsidR="00323873" w:rsidRPr="00323873" w:rsidRDefault="00323873" w:rsidP="00323873">
      <w:pPr>
        <w:numPr>
          <w:ilvl w:val="1"/>
          <w:numId w:val="1"/>
        </w:numPr>
      </w:pPr>
      <w:r w:rsidRPr="00323873">
        <w:t xml:space="preserve">Steady growth in </w:t>
      </w:r>
      <w:r w:rsidRPr="00323873">
        <w:rPr>
          <w:b/>
          <w:bCs/>
        </w:rPr>
        <w:t>Sales</w:t>
      </w:r>
      <w:r w:rsidRPr="00323873">
        <w:t>, with a significant increase from ₹2,549 Cr in 2020 to ₹9,220 Cr in 2024.</w:t>
      </w:r>
    </w:p>
    <w:p w14:paraId="23A9D0C4" w14:textId="77777777" w:rsidR="00323873" w:rsidRPr="00323873" w:rsidRDefault="00323873" w:rsidP="00323873">
      <w:pPr>
        <w:numPr>
          <w:ilvl w:val="1"/>
          <w:numId w:val="1"/>
        </w:numPr>
      </w:pPr>
      <w:r w:rsidRPr="00323873">
        <w:t>Net Profit shows consistent growth, with the highest contribution in 2024 (₹1,260 Cr, 43.39% of the total).</w:t>
      </w:r>
    </w:p>
    <w:p w14:paraId="44BAAB25" w14:textId="77777777" w:rsidR="00323873" w:rsidRPr="00323873" w:rsidRDefault="00323873" w:rsidP="00323873">
      <w:pPr>
        <w:numPr>
          <w:ilvl w:val="0"/>
          <w:numId w:val="1"/>
        </w:numPr>
      </w:pPr>
      <w:r w:rsidRPr="00323873">
        <w:rPr>
          <w:b/>
          <w:bCs/>
        </w:rPr>
        <w:t>ROCE (%) Analysis:</w:t>
      </w:r>
    </w:p>
    <w:p w14:paraId="48449045" w14:textId="77777777" w:rsidR="00323873" w:rsidRPr="00323873" w:rsidRDefault="00323873" w:rsidP="00323873">
      <w:pPr>
        <w:numPr>
          <w:ilvl w:val="1"/>
          <w:numId w:val="1"/>
        </w:numPr>
      </w:pPr>
      <w:r w:rsidRPr="00323873">
        <w:t>Return on Capital Employed (ROCE) dipped in 2022 but rebounded to 8% in 2024, showcasing improved capital efficiency.</w:t>
      </w:r>
    </w:p>
    <w:p w14:paraId="095F7B24" w14:textId="77777777" w:rsidR="00323873" w:rsidRPr="00323873" w:rsidRDefault="00323873" w:rsidP="00323873">
      <w:pPr>
        <w:numPr>
          <w:ilvl w:val="0"/>
          <w:numId w:val="1"/>
        </w:numPr>
      </w:pPr>
      <w:r w:rsidRPr="00323873">
        <w:rPr>
          <w:b/>
          <w:bCs/>
        </w:rPr>
        <w:t>P/E Ratio Insights:</w:t>
      </w:r>
    </w:p>
    <w:p w14:paraId="2F03BFEA" w14:textId="77777777" w:rsidR="00323873" w:rsidRPr="00323873" w:rsidRDefault="00323873" w:rsidP="00323873">
      <w:pPr>
        <w:numPr>
          <w:ilvl w:val="1"/>
          <w:numId w:val="1"/>
        </w:numPr>
      </w:pPr>
      <w:r w:rsidRPr="00323873">
        <w:t>The Price-to-Earnings (P/E) ratio peaked initially but saw a decline, stabilizing around 2024, indicating market valuation aligning with performance.</w:t>
      </w:r>
    </w:p>
    <w:p w14:paraId="3DE63173" w14:textId="77777777" w:rsidR="00323873" w:rsidRPr="00323873" w:rsidRDefault="00323873" w:rsidP="00323873">
      <w:pPr>
        <w:numPr>
          <w:ilvl w:val="0"/>
          <w:numId w:val="1"/>
        </w:numPr>
      </w:pPr>
      <w:r w:rsidRPr="00323873">
        <w:rPr>
          <w:b/>
          <w:bCs/>
        </w:rPr>
        <w:t>Assets and Liabilities:</w:t>
      </w:r>
    </w:p>
    <w:p w14:paraId="4303E085" w14:textId="77777777" w:rsidR="00323873" w:rsidRPr="00323873" w:rsidRDefault="00323873" w:rsidP="00323873">
      <w:pPr>
        <w:numPr>
          <w:ilvl w:val="1"/>
          <w:numId w:val="1"/>
        </w:numPr>
      </w:pPr>
      <w:r w:rsidRPr="00323873">
        <w:t>The company maintains a strong financial base, with assets consistently outpacing liabilities. Total assets grew significantly from ₹50,000 Cr in 2020 to over ₹100,000 Cr in 2024.</w:t>
      </w:r>
    </w:p>
    <w:p w14:paraId="06C91CB2" w14:textId="77777777" w:rsidR="00323873" w:rsidRPr="00323873" w:rsidRDefault="00323873" w:rsidP="00323873">
      <w:r w:rsidRPr="00323873">
        <w:pict w14:anchorId="0E38515B">
          <v:rect id="_x0000_i1037" style="width:0;height:1.5pt" o:hralign="center" o:hrstd="t" o:hr="t" fillcolor="#a0a0a0" stroked="f"/>
        </w:pict>
      </w:r>
    </w:p>
    <w:p w14:paraId="6C5E8BFD" w14:textId="77777777" w:rsidR="00323873" w:rsidRPr="00323873" w:rsidRDefault="00323873" w:rsidP="00323873">
      <w:pPr>
        <w:rPr>
          <w:b/>
          <w:bCs/>
        </w:rPr>
      </w:pPr>
      <w:proofErr w:type="spellStart"/>
      <w:r w:rsidRPr="00323873">
        <w:rPr>
          <w:b/>
          <w:bCs/>
        </w:rPr>
        <w:t>ReNew</w:t>
      </w:r>
      <w:proofErr w:type="spellEnd"/>
      <w:r w:rsidRPr="00323873">
        <w:rPr>
          <w:b/>
          <w:bCs/>
        </w:rPr>
        <w:t xml:space="preserve"> Power</w:t>
      </w:r>
    </w:p>
    <w:p w14:paraId="022D5303" w14:textId="77777777" w:rsidR="00323873" w:rsidRPr="00323873" w:rsidRDefault="00323873" w:rsidP="00323873">
      <w:pPr>
        <w:numPr>
          <w:ilvl w:val="0"/>
          <w:numId w:val="2"/>
        </w:numPr>
      </w:pPr>
      <w:r w:rsidRPr="00323873">
        <w:rPr>
          <w:b/>
          <w:bCs/>
        </w:rPr>
        <w:t>Revenue and Net Income Trends (2019–2023):</w:t>
      </w:r>
    </w:p>
    <w:p w14:paraId="1FD6555C" w14:textId="77777777" w:rsidR="00323873" w:rsidRPr="00323873" w:rsidRDefault="00323873" w:rsidP="00323873">
      <w:pPr>
        <w:numPr>
          <w:ilvl w:val="1"/>
          <w:numId w:val="2"/>
        </w:numPr>
      </w:pPr>
      <w:r w:rsidRPr="00323873">
        <w:t>Total Revenue surged from ₹12,000 Cr in 2019 to ₹25,007 Cr in 2023, reflecting strong operational expansion.</w:t>
      </w:r>
    </w:p>
    <w:p w14:paraId="7C9577E6" w14:textId="77777777" w:rsidR="00323873" w:rsidRPr="00323873" w:rsidRDefault="00323873" w:rsidP="00323873">
      <w:pPr>
        <w:numPr>
          <w:ilvl w:val="1"/>
          <w:numId w:val="2"/>
        </w:numPr>
      </w:pPr>
      <w:r w:rsidRPr="00323873">
        <w:t>Net Income increased steadily, with 2023 recording the highest (₹425 Cr, 34.69% of total).</w:t>
      </w:r>
    </w:p>
    <w:p w14:paraId="0D259C5B" w14:textId="77777777" w:rsidR="00323873" w:rsidRPr="00323873" w:rsidRDefault="00323873" w:rsidP="00323873">
      <w:pPr>
        <w:numPr>
          <w:ilvl w:val="0"/>
          <w:numId w:val="2"/>
        </w:numPr>
      </w:pPr>
      <w:r w:rsidRPr="00323873">
        <w:rPr>
          <w:b/>
          <w:bCs/>
        </w:rPr>
        <w:t>ROE (%) Insights:</w:t>
      </w:r>
    </w:p>
    <w:p w14:paraId="76EC14D0" w14:textId="77777777" w:rsidR="00323873" w:rsidRPr="00323873" w:rsidRDefault="00323873" w:rsidP="00323873">
      <w:pPr>
        <w:numPr>
          <w:ilvl w:val="1"/>
          <w:numId w:val="2"/>
        </w:numPr>
      </w:pPr>
      <w:r w:rsidRPr="00323873">
        <w:t>Return on Equity (ROE) rose consistently, reaching a high of 12.5% in 2023, showcasing enhanced shareholder returns.</w:t>
      </w:r>
    </w:p>
    <w:p w14:paraId="59E773E2" w14:textId="77777777" w:rsidR="00323873" w:rsidRPr="00323873" w:rsidRDefault="00323873" w:rsidP="00323873">
      <w:pPr>
        <w:numPr>
          <w:ilvl w:val="0"/>
          <w:numId w:val="2"/>
        </w:numPr>
      </w:pPr>
      <w:r w:rsidRPr="00323873">
        <w:rPr>
          <w:b/>
          <w:bCs/>
        </w:rPr>
        <w:t>P/E Ratio Movement:</w:t>
      </w:r>
    </w:p>
    <w:p w14:paraId="1F559CEA" w14:textId="77777777" w:rsidR="00323873" w:rsidRPr="00323873" w:rsidRDefault="00323873" w:rsidP="00323873">
      <w:pPr>
        <w:numPr>
          <w:ilvl w:val="1"/>
          <w:numId w:val="2"/>
        </w:numPr>
      </w:pPr>
      <w:r w:rsidRPr="00323873">
        <w:t>The P/E ratio climbed steadily, indicating increasing investor confidence in the company's valuation over time.</w:t>
      </w:r>
    </w:p>
    <w:p w14:paraId="3271817E" w14:textId="77777777" w:rsidR="00323873" w:rsidRPr="00323873" w:rsidRDefault="00323873" w:rsidP="00323873">
      <w:pPr>
        <w:numPr>
          <w:ilvl w:val="0"/>
          <w:numId w:val="2"/>
        </w:numPr>
      </w:pPr>
      <w:r w:rsidRPr="00323873">
        <w:rPr>
          <w:b/>
          <w:bCs/>
        </w:rPr>
        <w:t>Assets vs. Liabilities:</w:t>
      </w:r>
    </w:p>
    <w:p w14:paraId="4781995D" w14:textId="77777777" w:rsidR="00323873" w:rsidRPr="00323873" w:rsidRDefault="00323873" w:rsidP="00323873">
      <w:pPr>
        <w:numPr>
          <w:ilvl w:val="1"/>
          <w:numId w:val="2"/>
        </w:numPr>
      </w:pPr>
      <w:proofErr w:type="spellStart"/>
      <w:r w:rsidRPr="00323873">
        <w:t>ReNew</w:t>
      </w:r>
      <w:proofErr w:type="spellEnd"/>
      <w:r w:rsidRPr="00323873">
        <w:t xml:space="preserve"> Power shows a well-managed balance sheet, with assets consistently larger than liabilities, ensuring financial stability.</w:t>
      </w:r>
    </w:p>
    <w:p w14:paraId="51E54F6A" w14:textId="77777777" w:rsidR="00323873" w:rsidRPr="00323873" w:rsidRDefault="00323873" w:rsidP="00323873">
      <w:r w:rsidRPr="00323873">
        <w:pict w14:anchorId="2195D153">
          <v:rect id="_x0000_i1038" style="width:0;height:1.5pt" o:hralign="center" o:hrstd="t" o:hr="t" fillcolor="#a0a0a0" stroked="f"/>
        </w:pict>
      </w:r>
    </w:p>
    <w:p w14:paraId="65246C0C" w14:textId="0934654A" w:rsidR="00323873" w:rsidRPr="00323873" w:rsidRDefault="00323873" w:rsidP="00323873">
      <w:pPr>
        <w:rPr>
          <w:b/>
          <w:bCs/>
        </w:rPr>
      </w:pPr>
      <w:r>
        <w:rPr>
          <w:b/>
          <w:bCs/>
        </w:rPr>
        <w:lastRenderedPageBreak/>
        <w:br/>
      </w:r>
      <w:r w:rsidRPr="00323873">
        <w:rPr>
          <w:b/>
          <w:bCs/>
        </w:rPr>
        <w:t>Key Comparisons</w:t>
      </w:r>
    </w:p>
    <w:p w14:paraId="415200B2" w14:textId="77777777" w:rsidR="00323873" w:rsidRPr="00323873" w:rsidRDefault="00323873" w:rsidP="00323873">
      <w:pPr>
        <w:numPr>
          <w:ilvl w:val="0"/>
          <w:numId w:val="3"/>
        </w:numPr>
      </w:pPr>
      <w:r w:rsidRPr="00323873">
        <w:rPr>
          <w:b/>
          <w:bCs/>
        </w:rPr>
        <w:t>Revenue Growth:</w:t>
      </w:r>
      <w:r w:rsidRPr="00323873">
        <w:t xml:space="preserve"> </w:t>
      </w:r>
      <w:proofErr w:type="spellStart"/>
      <w:r w:rsidRPr="00323873">
        <w:t>ReNew</w:t>
      </w:r>
      <w:proofErr w:type="spellEnd"/>
      <w:r w:rsidRPr="00323873">
        <w:t xml:space="preserve"> Power’s revenue base is significantly higher than Adani Green’s, but Adani Green has a higher ROCE in 2024.</w:t>
      </w:r>
    </w:p>
    <w:p w14:paraId="01F17B91" w14:textId="77777777" w:rsidR="00323873" w:rsidRPr="00323873" w:rsidRDefault="00323873" w:rsidP="00323873">
      <w:pPr>
        <w:numPr>
          <w:ilvl w:val="0"/>
          <w:numId w:val="3"/>
        </w:numPr>
      </w:pPr>
      <w:r w:rsidRPr="00323873">
        <w:rPr>
          <w:b/>
          <w:bCs/>
        </w:rPr>
        <w:t>Profitability:</w:t>
      </w:r>
      <w:r w:rsidRPr="00323873">
        <w:t xml:space="preserve"> Adani Green shows stronger growth in net profit, while </w:t>
      </w:r>
      <w:proofErr w:type="spellStart"/>
      <w:r w:rsidRPr="00323873">
        <w:t>ReNew</w:t>
      </w:r>
      <w:proofErr w:type="spellEnd"/>
      <w:r w:rsidRPr="00323873">
        <w:t xml:space="preserve"> Power emphasizes consistent returns to equity holders.</w:t>
      </w:r>
    </w:p>
    <w:p w14:paraId="281E276B" w14:textId="77777777" w:rsidR="00323873" w:rsidRPr="00323873" w:rsidRDefault="00323873" w:rsidP="00323873">
      <w:pPr>
        <w:numPr>
          <w:ilvl w:val="0"/>
          <w:numId w:val="3"/>
        </w:numPr>
      </w:pPr>
      <w:r w:rsidRPr="00323873">
        <w:rPr>
          <w:b/>
          <w:bCs/>
        </w:rPr>
        <w:t>Asset Management:</w:t>
      </w:r>
      <w:r w:rsidRPr="00323873">
        <w:t xml:space="preserve"> Both companies exhibit robust asset growth, but Adani Green’s total assets have shown faster expansion in recent years.</w:t>
      </w:r>
    </w:p>
    <w:p w14:paraId="4C4C475F" w14:textId="77777777" w:rsidR="00B873A9" w:rsidRDefault="00B873A9"/>
    <w:sectPr w:rsidR="00B87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64F5E"/>
    <w:multiLevelType w:val="multilevel"/>
    <w:tmpl w:val="050C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A4FC1"/>
    <w:multiLevelType w:val="multilevel"/>
    <w:tmpl w:val="D7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553AD"/>
    <w:multiLevelType w:val="multilevel"/>
    <w:tmpl w:val="C360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701849">
    <w:abstractNumId w:val="1"/>
  </w:num>
  <w:num w:numId="2" w16cid:durableId="481698764">
    <w:abstractNumId w:val="2"/>
  </w:num>
  <w:num w:numId="3" w16cid:durableId="104780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F1"/>
    <w:rsid w:val="00323873"/>
    <w:rsid w:val="005A28F1"/>
    <w:rsid w:val="00B873A9"/>
    <w:rsid w:val="00C8654A"/>
    <w:rsid w:val="00C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72E"/>
  <w15:chartTrackingRefBased/>
  <w15:docId w15:val="{DF0FAFEA-52AE-4CB0-A3D6-352CAC1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 Banerjee</dc:creator>
  <cp:keywords/>
  <dc:description/>
  <cp:lastModifiedBy>Anwesh Banerjee</cp:lastModifiedBy>
  <cp:revision>2</cp:revision>
  <dcterms:created xsi:type="dcterms:W3CDTF">2024-11-25T13:22:00Z</dcterms:created>
  <dcterms:modified xsi:type="dcterms:W3CDTF">2024-11-25T13:22:00Z</dcterms:modified>
</cp:coreProperties>
</file>