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onstructing-new-numbers-ver.1"/>
    <w:p>
      <w:pPr>
        <w:pStyle w:val="Heading1"/>
      </w:pPr>
      <w:r>
        <w:t xml:space="preserve">Constructing New Numbers (ver.1)</w:t>
      </w:r>
    </w:p>
    <w:p>
      <w:pPr>
        <w:pStyle w:val="Compact"/>
        <w:numPr>
          <w:ilvl w:val="0"/>
          <w:numId w:val="1001"/>
        </w:numPr>
      </w:pPr>
      <w:r>
        <w:t xml:space="preserve">Created: 22 Aug 2025</w:t>
      </w:r>
    </w:p>
    <w:p>
      <w:pPr>
        <w:pStyle w:val="Compact"/>
        <w:numPr>
          <w:ilvl w:val="0"/>
          <w:numId w:val="1001"/>
        </w:numPr>
      </w:pPr>
      <w:r>
        <w:t xml:space="preserve">First publication: 11 Aug 2025</w:t>
      </w:r>
    </w:p>
    <w:p>
      <w:pPr>
        <w:pStyle w:val="Compact"/>
        <w:numPr>
          <w:ilvl w:val="0"/>
          <w:numId w:val="1001"/>
        </w:numPr>
      </w:pPr>
      <w:r>
        <w:t xml:space="preserve">Compilation started: 17 Jul 2024</w:t>
      </w:r>
    </w:p>
    <w:p>
      <w:pPr>
        <w:pStyle w:val="Compact"/>
        <w:numPr>
          <w:ilvl w:val="0"/>
          <w:numId w:val="1001"/>
        </w:numPr>
      </w:pPr>
      <w:r>
        <w:t xml:space="preserve">Author: Yuta Kimura (1968–)</w:t>
      </w:r>
    </w:p>
    <w:p>
      <w:r>
        <w:pict>
          <v:rect style="width:0;height:1.5pt" o:hralign="center" o:hrstd="t" o:hr="t"/>
        </w:pict>
      </w:r>
    </w:p>
    <w:bookmarkStart w:id="20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article is an excerpt from Chapter 1 of an unfinished research manuscript,</w:t>
      </w:r>
      <w:r>
        <w:t xml:space="preserve"> </w:t>
      </w:r>
      <w:r>
        <w:rPr>
          <w:i/>
          <w:iCs/>
        </w:rPr>
        <w:t xml:space="preserve">A New Foundation of Mathematics</w:t>
      </w:r>
      <w:r>
        <w:t xml:space="preserve">. Chapter 2 will implement a λ‑calculus interpreter; Chapter 3 will present</w:t>
      </w:r>
      <w:r>
        <w:t xml:space="preserve"> </w:t>
      </w:r>
      <w:r>
        <w:rPr>
          <w:b/>
          <w:bCs/>
        </w:rPr>
        <w:t xml:space="preserve">formal definitions, axioms, and proofs</w:t>
      </w:r>
      <w:r>
        <w:t xml:space="preserve"> </w:t>
      </w:r>
      <w:r>
        <w:t xml:space="preserve">in a custom language executable on that interpreter. In this chapter, prior to the later formalization, we describe the construction of new numbers while explicitly stating</w:t>
      </w:r>
      <w:r>
        <w:t xml:space="preserve"> </w:t>
      </w:r>
      <w:r>
        <w:rPr>
          <w:b/>
          <w:bCs/>
        </w:rPr>
        <w:t xml:space="preserve">symbols, types, and equivalence relations</w:t>
      </w:r>
      <w:r>
        <w:t xml:space="preserve">.</w:t>
      </w:r>
    </w:p>
    <w:p>
      <w:pPr>
        <w:pStyle w:val="BlockText"/>
      </w:pPr>
      <w:r>
        <w:t xml:space="preserve">Guiding principles</w:t>
      </w:r>
    </w:p>
    <w:p>
      <w:pPr>
        <w:pStyle w:val="Compact"/>
        <w:numPr>
          <w:ilvl w:val="0"/>
          <w:numId w:val="1002"/>
        </w:numPr>
      </w:pPr>
      <w:r>
        <w:t xml:space="preserve">Treat</w:t>
      </w:r>
      <w:r>
        <w:t xml:space="preserve"> </w:t>
      </w:r>
      <w:r>
        <w:rPr>
          <w:b/>
          <w:bCs/>
        </w:rPr>
        <w:t xml:space="preserve">generation procedures (directed processes)</w:t>
      </w:r>
      <w:r>
        <w:t xml:space="preserve"> </w:t>
      </w:r>
      <w:r>
        <w:t xml:space="preserve">as first‑class objects rather than values themselves.</w:t>
      </w:r>
    </w:p>
    <w:p>
      <w:pPr>
        <w:pStyle w:val="Compact"/>
        <w:numPr>
          <w:ilvl w:val="0"/>
          <w:numId w:val="1002"/>
        </w:numPr>
      </w:pPr>
      <w:r>
        <w:t xml:space="preserve">Name the</w:t>
      </w:r>
      <w:r>
        <w:t xml:space="preserve"> </w:t>
      </w:r>
      <w:r>
        <w:t xml:space="preserve">“neighbor”</w:t>
      </w:r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does not reach the limit value</w:t>
      </w:r>
      <w:r>
        <w:t xml:space="preserve"> </w:t>
      </w:r>
      <w:r>
        <w:t xml:space="preserve">as an</w:t>
      </w:r>
      <w:r>
        <w:t xml:space="preserve"> </w:t>
      </w:r>
      <w:r>
        <w:rPr>
          <w:b/>
          <w:bCs/>
        </w:rPr>
        <w:t xml:space="preserve">equivalence class of procedures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qlim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Keep the whole system</w:t>
      </w:r>
      <w:r>
        <w:t xml:space="preserve"> </w:t>
      </w:r>
      <w:r>
        <w:rPr>
          <w:b/>
          <w:bCs/>
        </w:rPr>
        <w:t xml:space="preserve">countable</w:t>
      </w:r>
      <w:r>
        <w:t xml:space="preserve"> </w:t>
      </w:r>
      <w:r>
        <w:t xml:space="preserve">while connecting naturally to arithmetic through a layered structure (the</w:t>
      </w:r>
      <w:r>
        <w:t xml:space="preserve"> </w:t>
      </w:r>
      <w:r>
        <w:rPr>
          <w:b/>
          <w:bCs/>
        </w:rPr>
        <w:t xml:space="preserve">continuous ordinal numbers</w:t>
      </w:r>
      <w:r>
        <w:t xml:space="preserve"> </w:t>
      </w:r>
      <w:r>
        <w:t xml:space="preserve">(M)), then define the</w:t>
      </w:r>
      <w:r>
        <w:t xml:space="preserve"> </w:t>
      </w:r>
      <w:r>
        <w:rPr>
          <w:b/>
          <w:bCs/>
        </w:rPr>
        <w:t xml:space="preserve">new reals</w:t>
      </w:r>
      <w:r>
        <w:t xml:space="preserve"> </w:t>
      </w:r>
      <w:r>
        <w:t xml:space="preserve">(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1" w:name="notation-and-conventions"/>
    <w:p>
      <w:pPr>
        <w:pStyle w:val="Heading2"/>
      </w:pPr>
      <w:r>
        <w:t xml:space="preserve">Notation and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Function application</w:t>
      </w:r>
      <w:r>
        <w:t xml:space="preserve"> </w:t>
      </w:r>
      <w:r>
        <w:t xml:space="preserve">is written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(no spaces). Repetition uses</w:t>
      </w:r>
      <w:r>
        <w:t xml:space="preserve"> </w:t>
      </w:r>
      <w:r>
        <w:rPr>
          <w:rStyle w:val="VerbatimChar"/>
        </w:rPr>
        <w:t xml:space="preserve">f^k()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Multiplication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·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×</w:t>
      </w:r>
      <w:r>
        <w:t xml:space="preserve"> </w:t>
      </w:r>
      <w:r>
        <w:t xml:space="preserve">when convenient).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Line breaks inside formulas</w:t>
      </w:r>
      <w:r>
        <w:t xml:space="preserve"> </w:t>
      </w:r>
      <w:r>
        <w:t xml:space="preserve">are allowed for layout; terminate a displayed formula with a semicolon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Pronunciations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a##</w:t>
      </w:r>
      <w:r>
        <w:t xml:space="preserve"> </w:t>
      </w:r>
      <w:r>
        <w:t xml:space="preserve">means</w:t>
      </w:r>
      <w:r>
        <w:t xml:space="preserve"> </w:t>
      </w:r>
      <w:r>
        <w:t xml:space="preserve">“one step to the</w:t>
      </w:r>
      <w:r>
        <w:t xml:space="preserve"> </w:t>
      </w:r>
      <w:r>
        <w:rPr>
          <w:b/>
          <w:bCs/>
        </w:rPr>
        <w:t xml:space="preserve">next</w:t>
      </w:r>
      <w:r>
        <w:t xml:space="preserve"> </w:t>
      </w:r>
      <w:r>
        <w:t xml:space="preserve">(right) of</w:t>
      </w:r>
      <w:r>
        <w:t xml:space="preserve"> </w:t>
      </w:r>
      <w:r>
        <w:rPr>
          <w:rStyle w:val="VerbatimChar"/>
        </w:rPr>
        <w:t xml:space="preserve">a</w:t>
      </w:r>
      <w:r>
        <w:t xml:space="preserve">”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a♭♭</w:t>
      </w:r>
      <w:r>
        <w:t xml:space="preserve"> </w:t>
      </w:r>
      <w:r>
        <w:t xml:space="preserve">means</w:t>
      </w:r>
      <w:r>
        <w:t xml:space="preserve"> </w:t>
      </w:r>
      <w:r>
        <w:t xml:space="preserve">“one step to the</w:t>
      </w:r>
      <w:r>
        <w:t xml:space="preserve"> </w:t>
      </w:r>
      <w:r>
        <w:rPr>
          <w:b/>
          <w:bCs/>
        </w:rPr>
        <w:t xml:space="preserve">previous</w:t>
      </w:r>
      <w:r>
        <w:t xml:space="preserve"> </w:t>
      </w:r>
      <w:r>
        <w:t xml:space="preserve">(left) of</w:t>
      </w:r>
      <w:r>
        <w:t xml:space="preserve"> </w:t>
      </w:r>
      <w:r>
        <w:rPr>
          <w:rStyle w:val="VerbatimChar"/>
        </w:rPr>
        <w:t xml:space="preserve">a</w:t>
      </w:r>
      <w:r>
        <w:t xml:space="preserve">”</w:t>
      </w:r>
      <w:r>
        <w:t xml:space="preserve"> </w:t>
      </w:r>
      <w:r>
        <w:t xml:space="preserve">(made precise below).</w:t>
      </w:r>
    </w:p>
    <w:p>
      <w:pPr>
        <w:pStyle w:val="Compact"/>
        <w:numPr>
          <w:ilvl w:val="0"/>
          <w:numId w:val="1003"/>
        </w:numPr>
      </w:pPr>
      <w:r>
        <w:t xml:space="preserve">The ellipsis</w:t>
      </w:r>
      <w:r>
        <w:t xml:space="preserve"> </w:t>
      </w:r>
      <w:r>
        <w:rPr>
          <w:rStyle w:val="VerbatimChar"/>
        </w:rPr>
        <w:t xml:space="preserve">…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human‑readable only</w:t>
      </w:r>
      <w:r>
        <w:t xml:space="preserve">; mathematical definitions use explicit iteration or limits.</w:t>
      </w:r>
    </w:p>
    <w:p>
      <w:r>
        <w:pict>
          <v:rect style="width:0;height:1.5pt" o:hralign="center" o:hrstd="t" o:hr="t"/>
        </w:pict>
      </w:r>
    </w:p>
    <w:bookmarkEnd w:id="21"/>
    <w:bookmarkStart w:id="22" w:name="constructing-the-natural-numbers"/>
    <w:p>
      <w:pPr>
        <w:pStyle w:val="Heading2"/>
      </w:pPr>
      <w:r>
        <w:t xml:space="preserve">1. Constructing the Natural Numbers</w:t>
      </w:r>
    </w:p>
    <w:p>
      <w:pPr>
        <w:pStyle w:val="FirstParagraph"/>
      </w:pPr>
      <w:r>
        <w:rPr>
          <w:b/>
          <w:bCs/>
        </w:rPr>
        <w:t xml:space="preserve">Def. 1.1 (Naturals)</w:t>
      </w:r>
      <w:r>
        <w:t xml:space="preserve"> </w:t>
      </w:r>
      <w:r>
        <w:t xml:space="preserve">Represent a natural number by</w:t>
      </w:r>
      <w:r>
        <w:t xml:space="preserve"> </w:t>
      </w:r>
      <w:r>
        <w:rPr>
          <w:b/>
          <w:bCs/>
        </w:rPr>
        <w:t xml:space="preserve">how many times a function is applied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(0 := f())</w:t>
      </w:r>
    </w:p>
    <w:p>
      <w:pPr>
        <w:pStyle w:val="Compact"/>
        <w:numPr>
          <w:ilvl w:val="0"/>
          <w:numId w:val="1004"/>
        </w:numPr>
      </w:pPr>
      <w:r>
        <w:t xml:space="preserve">(1 := f(f()))</w:t>
      </w:r>
    </w:p>
    <w:p>
      <w:pPr>
        <w:pStyle w:val="Compact"/>
        <w:numPr>
          <w:ilvl w:val="0"/>
          <w:numId w:val="1004"/>
        </w:numPr>
      </w:pPr>
      <w:r>
        <w:t xml:space="preserve">(2 := f(f(f())))</w:t>
      </w:r>
    </w:p>
    <w:p>
      <w:pPr>
        <w:pStyle w:val="Compact"/>
        <w:numPr>
          <w:ilvl w:val="0"/>
          <w:numId w:val="1004"/>
        </w:numPr>
      </w:pPr>
      <w:r>
        <w:t xml:space="preserve">… (in general, (n) is the number of repetitions of (f))</w:t>
      </w:r>
    </w:p>
    <w:p>
      <w:pPr>
        <w:pStyle w:val="BlockText"/>
      </w:pPr>
      <w:r>
        <w:t xml:space="preserve">Remark. This is isomorphic to</w:t>
      </w:r>
      <w:r>
        <w:t xml:space="preserve"> </w:t>
      </w:r>
      <w:r>
        <w:rPr>
          <w:b/>
          <w:bCs/>
        </w:rPr>
        <w:t xml:space="preserve">Church numerals</w:t>
      </w:r>
      <w:r>
        <w:t xml:space="preserve">. We use Arabic digits (n) for these naturals.</w:t>
      </w:r>
    </w:p>
    <w:p>
      <w:r>
        <w:pict>
          <v:rect style="width:0;height:1.5pt" o:hralign="center" o:hrstd="t" o:hr="t"/>
        </w:pict>
      </w:r>
    </w:p>
    <w:bookmarkEnd w:id="22"/>
    <w:bookmarkStart w:id="23" w:name="constructing-the-integers"/>
    <w:p>
      <w:pPr>
        <w:pStyle w:val="Heading2"/>
      </w:pPr>
      <w:r>
        <w:t xml:space="preserve">2. Constructing the Integers</w:t>
      </w:r>
    </w:p>
    <w:p>
      <w:pPr>
        <w:pStyle w:val="FirstParagraph"/>
      </w:pPr>
      <w:r>
        <w:rPr>
          <w:b/>
          <w:bCs/>
        </w:rPr>
        <w:t xml:space="preserve">Def. 2.1 (Integers)</w:t>
      </w:r>
      <w:r>
        <w:t xml:space="preserve"> </w:t>
      </w:r>
      <w:r>
        <w:t xml:space="preserve">An integer is an ordered pair</w:t>
      </w:r>
      <w:r>
        <w:t xml:space="preserve"> </w:t>
      </w:r>
      <w:r>
        <w:rPr>
          <w:b/>
          <w:bCs/>
        </w:rPr>
        <w:t xml:space="preserve">(sign, natural)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∋</m:t>
          </m:r>
          <m:r>
            <m:t>z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s</m:t>
          </m:r>
          <m:r>
            <m:rPr>
              <m:sty m:val="p"/>
            </m:rPr>
            <m:t>g</m:t>
          </m:r>
          <m:r>
            <m:rPr>
              <m:sty m:val="p"/>
            </m:rPr>
            <m:t>n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r>
            <m:rPr>
              <m:nor/>
              <m:sty m:val="p"/>
            </m:rPr>
            <m:t> (nonnegative)</m:t>
          </m:r>
          <m:r>
            <m:rPr>
              <m:sty m:val="p"/>
            </m:rPr>
            <m:t>,</m:t>
          </m:r>
          <m:r>
            <m:t>1</m:t>
          </m:r>
          <m:r>
            <m:rPr>
              <m:nor/>
              <m:sty m:val="p"/>
            </m:rPr>
            <m:t> (negative)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5"/>
        </w:numPr>
      </w:pPr>
      <w:r>
        <w:t xml:space="preserve">Examples:</w:t>
      </w:r>
    </w:p>
    <w:p>
      <w:pPr>
        <w:pStyle w:val="Compact"/>
        <w:numPr>
          <w:ilvl w:val="1"/>
          <w:numId w:val="1006"/>
        </w:numPr>
      </w:pPr>
      <w:r>
        <w:t xml:space="preserve">(+2 := (0,2) = (f(), f^3()))</w:t>
      </w:r>
    </w:p>
    <w:p>
      <w:pPr>
        <w:pStyle w:val="Compact"/>
        <w:numPr>
          <w:ilvl w:val="1"/>
          <w:numId w:val="1006"/>
        </w:numPr>
      </w:pPr>
      <w:r>
        <w:t xml:space="preserve">(+1 := (0,1) = (f(), f^2()))</w:t>
      </w:r>
    </w:p>
    <w:p>
      <w:pPr>
        <w:pStyle w:val="Compact"/>
        <w:numPr>
          <w:ilvl w:val="1"/>
          <w:numId w:val="1006"/>
        </w:numPr>
      </w:pPr>
      <w:r>
        <w:t xml:space="preserve">(</w:t>
      </w:r>
      <w:r>
        <w:t xml:space="preserve">0 := (0,0) = (f(), f()))</w:t>
      </w:r>
    </w:p>
    <w:p>
      <w:pPr>
        <w:pStyle w:val="Compact"/>
        <w:numPr>
          <w:ilvl w:val="1"/>
          <w:numId w:val="1006"/>
        </w:numPr>
      </w:pPr>
      <w:r>
        <w:t xml:space="preserve">(-1 := (1,1) = (f^2(), f^2()))</w:t>
      </w:r>
    </w:p>
    <w:p>
      <w:pPr>
        <w:pStyle w:val="Compact"/>
        <w:numPr>
          <w:ilvl w:val="1"/>
          <w:numId w:val="1006"/>
        </w:numPr>
      </w:pPr>
      <w:r>
        <w:t xml:space="preserve">(-2 := (1,2) = (f^2(), f^3()))</w:t>
      </w:r>
    </w:p>
    <w:p>
      <w:pPr>
        <w:pStyle w:val="FirstParagraph"/>
      </w:pPr>
      <w:r>
        <w:rPr>
          <w:b/>
          <w:bCs/>
        </w:rPr>
        <w:t xml:space="preserve">Normalization.</w:t>
      </w:r>
      <w:r>
        <w:t xml:space="preserve"> </w:t>
      </w:r>
      <w:r>
        <w:t xml:space="preserve">Identify ((1,0)) with ((0,0)) (so (-0=0)).</w:t>
      </w:r>
    </w:p>
    <w:p>
      <w:r>
        <w:pict>
          <v:rect style="width:0;height:1.5pt" o:hralign="center" o:hrstd="t" o:hr="t"/>
        </w:pict>
      </w:r>
    </w:p>
    <w:bookmarkEnd w:id="23"/>
    <w:bookmarkStart w:id="24" w:name="constructing-the-rationals"/>
    <w:p>
      <w:pPr>
        <w:pStyle w:val="Heading2"/>
      </w:pPr>
      <w:r>
        <w:t xml:space="preserve">3. Constructing the Rationals</w:t>
      </w:r>
    </w:p>
    <w:p>
      <w:pPr>
        <w:pStyle w:val="FirstParagraph"/>
      </w:pPr>
      <w:r>
        <w:rPr>
          <w:b/>
          <w:bCs/>
        </w:rPr>
        <w:t xml:space="preserve">Def. 3.1 (Rationals)</w:t>
      </w:r>
      <w:r>
        <w:t xml:space="preserve"> </w:t>
      </w:r>
      <w:r>
        <w:t xml:space="preserve">A rational is an ordered pair</w:t>
      </w:r>
      <w:r>
        <w:t xml:space="preserve"> </w:t>
      </w:r>
      <w:r>
        <w:rPr>
          <w:b/>
          <w:bCs/>
        </w:rPr>
        <w:t xml:space="preserve">(integer, integer)</w:t>
      </w:r>
      <w:r>
        <w:t xml:space="preserve"> </w:t>
      </w:r>
      <w:r>
        <w:t xml:space="preserve">with a nonzero denominator: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∋</m:t>
          </m:r>
          <m:r>
            <m:t>q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Normal form.</w:t>
      </w:r>
      <w:r>
        <w:t xml:space="preserve"> </w:t>
      </w:r>
      <w:r>
        <w:t xml:space="preserve">Use reduced fraction with</w:t>
      </w:r>
      <w:r>
        <w:t xml:space="preserve"> </w:t>
      </w:r>
      <w:r>
        <w:rPr>
          <w:b/>
          <w:bCs/>
        </w:rPr>
        <w:t xml:space="preserve">positive denominator</w:t>
      </w:r>
      <w:r>
        <w:t xml:space="preserve"> </w:t>
      </w:r>
      <w:r>
        <w:t xml:space="preserve">as the class representative.</w:t>
      </w:r>
    </w:p>
    <w:p>
      <w:pPr>
        <w:pStyle w:val="Compact"/>
        <w:numPr>
          <w:ilvl w:val="0"/>
          <w:numId w:val="1007"/>
        </w:numPr>
      </w:pPr>
      <w:r>
        <w:t xml:space="preserve">Examples: (2/1 := (2,1)), (1/1 := (1,1)), (0/1 := (0,1)), (-1/1 := (-1,1)), etc.</w:t>
      </w:r>
    </w:p>
    <w:p>
      <w:r>
        <w:pict>
          <v:rect style="width:0;height:1.5pt" o:hralign="center" o:hrstd="t" o:hr="t"/>
        </w:pict>
      </w:r>
    </w:p>
    <w:bookmarkEnd w:id="24"/>
    <w:bookmarkStart w:id="33" w:name="rational-nearlimits-naming-the-neighbors"/>
    <w:p>
      <w:pPr>
        <w:pStyle w:val="Heading2"/>
      </w:pPr>
      <w:r>
        <w:t xml:space="preserve">4. Rational Near‑Limits (Naming the Neighbors)</w:t>
      </w:r>
    </w:p>
    <w:p>
      <w:pPr>
        <w:pStyle w:val="FirstParagraph"/>
      </w:pPr>
      <w:r>
        <w:t xml:space="preserve">Fix (a</w:t>
      </w:r>
      <w:r>
        <w:t xml:space="preserve">). We define the</w:t>
      </w:r>
      <w:r>
        <w:t xml:space="preserve"> </w:t>
      </w:r>
      <w:r>
        <w:rPr>
          <w:b/>
          <w:bCs/>
        </w:rPr>
        <w:t xml:space="preserve">“neighbor”</w:t>
      </w:r>
      <w:r>
        <w:t xml:space="preserve"> </w:t>
      </w:r>
      <w:r>
        <w:t xml:space="preserve">of (a) as an</w:t>
      </w:r>
      <w:r>
        <w:t xml:space="preserve"> </w:t>
      </w:r>
      <w:r>
        <w:rPr>
          <w:b/>
          <w:bCs/>
        </w:rPr>
        <w:t xml:space="preserve">equivalence class of directed procedures</w:t>
      </w:r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do not reach</w:t>
      </w:r>
      <w:r>
        <w:t xml:space="preserve"> </w:t>
      </w:r>
      <w:r>
        <w:t xml:space="preserve">the classical limit value.</w:t>
      </w:r>
    </w:p>
    <w:p>
      <w:pPr>
        <w:pStyle w:val="BodyText"/>
      </w:pPr>
      <w:r>
        <w:rPr>
          <w:b/>
          <w:bCs/>
        </w:rPr>
        <w:t xml:space="preserve">Def. 4.1 (Upper representative sequences).</w:t>
      </w:r>
      <w:r>
        <w:t xml:space="preserve"> </w:t>
      </w:r>
      <w:r>
        <w:t xml:space="preserve">For (b</w:t>
      </w:r>
      <w:r>
        <w:t xml:space="preserve">_{&gt;0}),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⋅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num>
            <m:den>
              <m:r>
                <m:t>n</m:t>
              </m:r>
            </m:den>
          </m:f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</m:e>
          </m:d>
        </m:oMath>
      </m:oMathPara>
    </w:p>
    <w:p>
      <w:pPr>
        <w:pStyle w:val="FirstParagraph"/>
      </w:pPr>
      <w:r>
        <w:t xml:space="preserve">is</w:t>
      </w:r>
      <w:r>
        <w:t xml:space="preserve"> </w:t>
      </w:r>
      <w:r>
        <w:rPr>
          <w:b/>
          <w:bCs/>
        </w:rPr>
        <w:t xml:space="preserve">monotonically decreasing</w:t>
      </w:r>
      <w:r>
        <w:t xml:space="preserve"> </w:t>
      </w:r>
      <w:r>
        <w:t xml:space="preserve">to (a) with (a) as a</w:t>
      </w:r>
      <w:r>
        <w:t xml:space="preserve"> </w:t>
      </w:r>
      <w:r>
        <w:rPr>
          <w:b/>
          <w:bCs/>
        </w:rPr>
        <w:t xml:space="preserve">lower bound</w:t>
      </w:r>
      <w:r>
        <w:t xml:space="preserve">. Dually, set (q_n^{-}(a;b):=</w:t>
      </w:r>
      <w:r>
        <w:t xml:space="preserve">) for the lower side ((b&gt;0)).</w:t>
      </w:r>
    </w:p>
    <w:p>
      <w:pPr>
        <w:pStyle w:val="BodyText"/>
      </w:pPr>
      <w:r>
        <w:rPr>
          <w:b/>
          <w:bCs/>
        </w:rPr>
        <w:t xml:space="preserve">Def. 4.2 (</w:t>
      </w:r>
      <w:r>
        <w:t xml:space="preserve">******</w:t>
      </w:r>
      <w:r>
        <w:rPr>
          <w:rStyle w:val="VerbatimChar"/>
        </w:rPr>
        <w:t xml:space="preserve">qlim</w:t>
      </w:r>
      <w:r>
        <w:t xml:space="preserve">******** and neighbor classes).** Take the</w:t>
      </w:r>
      <w:r>
        <w:t xml:space="preserve"> </w:t>
      </w:r>
      <w:r>
        <w:rPr>
          <w:b/>
          <w:bCs/>
        </w:rPr>
        <w:t xml:space="preserve">tail‑equivalence class</w:t>
      </w:r>
      <w:r>
        <w:t xml:space="preserve"> </w:t>
      </w:r>
      <w:r>
        <w:t xml:space="preserve">(defined below) of (q_n^{+}(a;b)) or (q_n^{-}(a;b)), and denote by (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upper (right) neighbor of </m:t>
          </m:r>
          <m:r>
            <m:t>a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rPr>
                  <m:sty m:val="p"/>
                </m:rPr>
                <m:t>qlim</m:t>
              </m:r>
            </m:e>
            <m:sub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lower (left) neighbor of </m:t>
          </m:r>
          <m:r>
            <m:t>a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rPr>
                  <m:sty m:val="p"/>
                </m:rPr>
                <m:t>qlim</m:t>
              </m:r>
            </m:e>
            <m:sub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class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depend on the choice of (b&gt;0).</w:t>
      </w:r>
    </w:p>
    <w:p>
      <w:pPr>
        <w:pStyle w:val="BodyText"/>
      </w:pPr>
      <w:r>
        <w:rPr>
          <w:b/>
          <w:bCs/>
        </w:rPr>
        <w:t xml:space="preserve">Notation 4.3 (Infinitesimal step operators).</w:t>
      </w:r>
      <w:r>
        <w:t xml:space="preserve"> </w:t>
      </w:r>
      <w:r>
        <w:t xml:space="preserve">Write one step to the upper neighbor by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and one step to the lower neighbor by</w:t>
      </w:r>
      <w:r>
        <w:t xml:space="preserve"> </w:t>
      </w:r>
      <w:r>
        <w:rPr>
          <w:rStyle w:val="VerbatimChar"/>
        </w:rPr>
        <w:t xml:space="preserve">♭♭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 </m:t>
          </m:r>
          <m:r>
            <m:rPr>
              <m:sty m:val="p"/>
            </m:rPr>
            <m:t>#</m:t>
          </m:r>
          <m:r>
            <m:rPr>
              <m:sty m:val="p"/>
            </m:rPr>
            <m:t>#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r>
            <m:rPr>
              <m:sty m:val="p"/>
            </m:rPr>
            <m:t>qlim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t> </m:t>
          </m:r>
          <m:r>
            <m:rPr>
              <m:sty m:val="p"/>
            </m:rPr>
            <m:t>♭</m:t>
          </m:r>
          <m:r>
            <m:rPr>
              <m:sty m:val="p"/>
            </m:rPr>
            <m:t>♭</m:t>
          </m:r>
          <m:r>
            <m:t> 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 </m:t>
          </m:r>
          <m:r>
            <m:rPr>
              <m:sty m:val="p"/>
            </m:rPr>
            <m:t>qlim</m:t>
          </m:r>
          <m:sSubSup>
            <m:e>
              <m:r>
                <m:t>q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lexicographic order will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⋯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</m:e>
              </m:d>
            </m:sup>
          </m:sSup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p>
          <m:r>
            <m:rPr>
              <m:sty m:val="p"/>
            </m:rPr>
            <m:t>&lt;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(a^{(k)}) will be represented via an isomorphism in §5 ((k</w:t>
      </w:r>
      <w:r>
        <w:t xml:space="preserve">)).</w:t>
      </w:r>
    </w:p>
    <w:p>
      <w:pPr>
        <w:pStyle w:val="BlockText"/>
      </w:pPr>
      <w:r>
        <w:t xml:space="preserve">Caution.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rPr>
          <w:b/>
          <w:bCs/>
        </w:rPr>
        <w:t xml:space="preserve">does not return a classical real value</w:t>
      </w:r>
      <w:r>
        <w:t xml:space="preserve">; it names an</w:t>
      </w:r>
      <w:r>
        <w:t xml:space="preserve"> </w:t>
      </w:r>
      <w:r>
        <w:rPr>
          <w:b/>
          <w:bCs/>
        </w:rPr>
        <w:t xml:space="preserve">equivalence class of directed generation procedures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fixed (a</w:t>
      </w:r>
      <w:r>
        <w:t xml:space="preserve">) and any (b_1,b_2&gt;0), the sequences (q_n^{+}(a;b_1)) and (q_n^{+}(a;b_2)) are</w:t>
      </w:r>
      <w:r>
        <w:t xml:space="preserve"> </w:t>
      </w:r>
      <w:r>
        <w:rPr>
          <w:b/>
          <w:bCs/>
        </w:rPr>
        <w:t xml:space="preserve">tail‑equivalent</w:t>
      </w:r>
      <w:r>
        <w:t xml:space="preserve">, hence define the same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t xml:space="preserve">class. Likewise for the lower side.</w:t>
      </w:r>
      <w:r>
        <w:t xml:space="preserve"> </w:t>
      </w:r>
      <w:r>
        <w:rPr>
          <w:b/>
          <w:bCs/>
        </w:rPr>
        <w:t xml:space="preserve">Proof (formal).</w:t>
      </w:r>
      <w:r>
        <w:t xml:space="preserve"> </w:t>
      </w:r>
      <w:r>
        <w:t xml:space="preserve">Define tail‑equivalence (</w:t>
      </w:r>
      <w:r>
        <w:t xml:space="preserve">) by: for sequences ((x_n),(y_n)), we have (x</w:t>
      </w:r>
      <w:r>
        <w:t xml:space="preserve">y) iff (</w:t>
      </w:r>
      <w:r>
        <w:t xml:space="preserve">&gt;0,</w:t>
      </w:r>
      <w:r>
        <w:t xml:space="preserve">N,</w:t>
      </w:r>
      <w:r>
        <w:t xml:space="preserve">n</w:t>
      </w:r>
      <w:r>
        <w:t xml:space="preserve">N,|x_n-y_n|&lt;</w:t>
      </w:r>
      <w:r>
        <w:t xml:space="preserve">). Put (x_n=a+b_1/n), (y_n=a+b_2/n). Then (|x_n-y_n|=|b_1-b_2|/n). For any (</w:t>
      </w:r>
      <w:r>
        <w:t xml:space="preserve">&gt;0) choose (N&gt;|b_1-b_2|/</w:t>
      </w:r>
      <w:r>
        <w:t xml:space="preserve">). Then (n</w:t>
      </w:r>
      <w:r>
        <w:t xml:space="preserve">N) implies (|x_n-y_n|&lt;</w:t>
      </w:r>
      <w:r>
        <w:t xml:space="preserve">). Both sequences are monotone with lower bound (a). Hence the same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t xml:space="preserve">class. ∎</w:t>
      </w:r>
    </w:p>
    <w:bookmarkStart w:id="25" w:name="lemma-reindexing-invariance"/>
    <w:p>
      <w:pPr>
        <w:pStyle w:val="Heading3"/>
      </w:pPr>
      <w:r>
        <w:t xml:space="preserve">4.5 Lemma (Reindexing invariance)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(k,c</w:t>
      </w:r>
      <w:r>
        <w:t xml:space="preserve">), (r_n:=q_{kn+c}^{+}(a;b)) is tail‑equivalent to (q_n^{+}(a;b)). Likewise for the lower side.</w:t>
      </w:r>
      <w:r>
        <w:t xml:space="preserve"> </w:t>
      </w:r>
      <w:r>
        <w:rPr>
          <w:b/>
          <w:bCs/>
        </w:rPr>
        <w:t xml:space="preserve">Proof (formal).</w:t>
      </w:r>
      <w:r>
        <w:t xml:space="preserve"> </w:t>
      </w:r>
      <w:r>
        <w:t xml:space="preserve">With (s_n=a+b/n) and (r_n=a+b/(kn+c)), the difference (d_n=r_n-s_n=-b((k-1)n+c)/(n(kn+c))) tends to 0. Hence (r</w:t>
      </w:r>
      <w:r>
        <w:t xml:space="preserve">s). Monotonicity holds since the denominator increases in (n). ∎</w:t>
      </w:r>
    </w:p>
    <w:bookmarkEnd w:id="25"/>
    <w:bookmarkStart w:id="26" w:name="definition-neighbor-classes"/>
    <w:p>
      <w:pPr>
        <w:pStyle w:val="Heading3"/>
      </w:pPr>
      <w:r>
        <w:t xml:space="preserve">4.6 Definition (Neighbor classes)</w:t>
      </w:r>
    </w:p>
    <w:p>
      <w:pPr>
        <w:pStyle w:val="FirstParagraph"/>
      </w:pPr>
      <w:r>
        <w:t xml:space="preserve">Define the</w:t>
      </w:r>
      <w:r>
        <w:t xml:space="preserve"> </w:t>
      </w:r>
      <w:r>
        <w:rPr>
          <w:b/>
          <w:bCs/>
        </w:rPr>
        <w:t xml:space="preserve">upper</w:t>
      </w:r>
      <w:r>
        <w:t xml:space="preserve"> </w:t>
      </w:r>
      <w:r>
        <w:t xml:space="preserve">class (N^{+}(a)) as ({ q_n^{+}(a;b)</w:t>
      </w:r>
      <w:r>
        <w:t xml:space="preserve">b&gt;0}) modulo 4.4; denote it by (a##). Define the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class (N^{-}(a)) analogously; denote it by (a,!</w:t>
      </w:r>
      <w:r>
        <w:t xml:space="preserve">).</w:t>
      </w:r>
    </w:p>
    <w:p>
      <w:pPr>
        <w:pStyle w:val="BlockText"/>
      </w:pPr>
      <w:r>
        <w:t xml:space="preserve">Note. For this chapter we restrict representatives to ((n</w:t>
      </w:r>
      <w:r>
        <w:t xml:space="preserve">a</w:t>
      </w:r>
      <w:r>
        <w:t xml:space="preserve">b)/n). Allowing wider monotone families would require extending the equivalence, which is unnecessary here.</w:t>
      </w:r>
    </w:p>
    <w:bookmarkEnd w:id="26"/>
    <w:bookmarkStart w:id="27" w:name="X2a3d996fd87a87bbef50481f90e62b627644ad9"/>
    <w:p>
      <w:pPr>
        <w:pStyle w:val="Heading3"/>
      </w:pPr>
      <w:r>
        <w:t xml:space="preserve">4.7 Proposition (Tail‑equivalence is an equivalence relation)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(</w:t>
      </w:r>
      <w:r>
        <w:t xml:space="preserve">) is an equivalence relation on the set of rational sequences.</w:t>
      </w:r>
      <w:r>
        <w:t xml:space="preserve"> </w:t>
      </w:r>
      <w:r>
        <w:rPr>
          <w:b/>
          <w:bCs/>
        </w:rPr>
        <w:t xml:space="preserve">Proof.</w:t>
      </w:r>
      <w:r>
        <w:t xml:space="preserve"> </w:t>
      </w:r>
      <w:r>
        <w:t xml:space="preserve">Reflexive: (|x_n-x_n|=0). Symmetric: (|y_n-x_n|=|x_n-y_n|). Transitive: use (</w:t>
      </w:r>
      <w:r>
        <w:t xml:space="preserve">/2) and (N=</w:t>
      </w:r>
      <w:r>
        <w:t xml:space="preserve">(N_1,N_2)). ∎</w:t>
      </w:r>
    </w:p>
    <w:p>
      <w:pPr>
        <w:pStyle w:val="BodyText"/>
      </w:pPr>
      <w:r>
        <w:rPr>
          <w:b/>
          <w:bCs/>
        </w:rPr>
        <w:t xml:space="preserve">Claim.</w:t>
      </w:r>
      <w:r>
        <w:t xml:space="preserve"> </w:t>
      </w:r>
      <w:r>
        <w:t xml:space="preserve">For every (a</w:t>
      </w:r>
      <w:r>
        <w:t xml:space="preserve">), both (N^{+}(a)) and (N^{-}(a)) are non‑empty and uniquely determined as equivalence classes.</w:t>
      </w:r>
      <w:r>
        <w:t xml:space="preserve"> </w:t>
      </w:r>
      <w:r>
        <w:rPr>
          <w:b/>
          <w:bCs/>
        </w:rPr>
        <w:t xml:space="preserve">Proof.</w:t>
      </w:r>
      <w:r>
        <w:t xml:space="preserve"> </w:t>
      </w:r>
      <w:r>
        <w:t xml:space="preserve">Non‑empty: take (b=1). Uniqueness: 4.4 shows independence of (b); 4.5 shows reindexing invariance. ∎</w:t>
      </w:r>
    </w:p>
    <w:p>
      <w:pPr>
        <w:pStyle w:val="BodyText"/>
      </w:pPr>
      <w:r>
        <w:rPr>
          <w:b/>
          <w:bCs/>
        </w:rPr>
        <w:t xml:space="preserve">Claim.</w:t>
      </w:r>
      <w:r>
        <w:t xml:space="preserve"> </w:t>
      </w:r>
      <w:r>
        <w:t xml:space="preserve">For each (a</w:t>
      </w:r>
      <w:r>
        <w:t xml:space="preserve">), the elements (a##) and (a,!</w:t>
      </w:r>
      <w:r>
        <w:t xml:space="preserve">) are independent of representatives and define unique elements (a^{(+1)}, a^{(-1)}</w:t>
      </w:r>
      <w:r>
        <w:t xml:space="preserve">M). Thus the maps (S^{+}:</w:t>
      </w:r>
      <w:r>
        <w:t xml:space="preserve">M), (S^{-}:</w:t>
      </w:r>
      <w:r>
        <w:t xml:space="preserve">M) given by (S</w:t>
      </w:r>
      <w:r>
        <w:rPr>
          <w:vertAlign w:val="superscript"/>
        </w:rPr>
        <w:t xml:space="preserve">{+}(a)=a</w:t>
      </w:r>
      <w:r>
        <w:t xml:space="preserve">{(+1)}) and (S</w:t>
      </w:r>
      <w:r>
        <w:rPr>
          <w:vertAlign w:val="superscript"/>
        </w:rPr>
        <w:t xml:space="preserve">{-}(a)=a</w:t>
      </w:r>
      <w:r>
        <w:t xml:space="preserve">{(-1)}) are well‑defined. ∎</w:t>
      </w:r>
    </w:p>
    <w:p>
      <w:pPr>
        <w:pStyle w:val="BodyText"/>
      </w:pPr>
      <w:r>
        <w:rPr>
          <w:b/>
          <w:bCs/>
        </w:rPr>
        <w:t xml:space="preserve">Claim.</w:t>
      </w:r>
      <w:r>
        <w:t xml:space="preserve"> </w:t>
      </w:r>
      <w:r>
        <w:t xml:space="preserve">If (a&lt;b) then (S</w:t>
      </w:r>
      <w:r>
        <w:rPr>
          <w:vertAlign w:val="superscript"/>
        </w:rPr>
        <w:t xml:space="preserve">{+}(a)&lt;S</w:t>
      </w:r>
      <w:r>
        <w:t xml:space="preserve">{+}(b)) and (S</w:t>
      </w:r>
      <w:r>
        <w:rPr>
          <w:vertAlign w:val="superscript"/>
        </w:rPr>
        <w:t xml:space="preserve">{-}(a)&lt;S</w:t>
      </w:r>
      <w:r>
        <w:t xml:space="preserve">{-}(b)); both maps are injective.</w:t>
      </w:r>
      <w:r>
        <w:t xml:space="preserve"> </w:t>
      </w:r>
      <w:r>
        <w:rPr>
          <w:b/>
          <w:bCs/>
        </w:rPr>
        <w:t xml:space="preserve">Proof.</w:t>
      </w:r>
      <w:r>
        <w:t xml:space="preserve"> </w:t>
      </w:r>
      <w:r>
        <w:t xml:space="preserve">In lexicographic order on (M), ((a,1)&lt;(b,1)) and ((a,-1)&lt;(b,-1)) for (a&lt;b). Injectivity is immediate. ∎</w:t>
      </w:r>
    </w:p>
    <w:p>
      <w:pPr>
        <w:pStyle w:val="BodyText"/>
      </w:pPr>
      <w:r>
        <w:t xml:space="preserve">Let (C^+_a:={a^{(+k)}</w:t>
      </w:r>
      <w:r>
        <w:t xml:space="preserve">k</w:t>
      </w:r>
      <w:r>
        <w:t xml:space="preserve">}), (C^-_a:={a^{(-k)}</w:t>
      </w:r>
      <w:r>
        <w:t xml:space="preserve">k</w:t>
      </w:r>
      <w:r>
        <w:t xml:space="preserve">}). Then (a^{(0)}) is the</w:t>
      </w:r>
      <w:r>
        <w:t xml:space="preserve"> </w:t>
      </w:r>
      <w:r>
        <w:rPr>
          <w:b/>
          <w:bCs/>
        </w:rPr>
        <w:t xml:space="preserve">infimum</w:t>
      </w:r>
      <w:r>
        <w:t xml:space="preserve"> </w:t>
      </w:r>
      <w:r>
        <w:t xml:space="preserve">of (C^+_a) and the</w:t>
      </w:r>
      <w:r>
        <w:t xml:space="preserve"> </w:t>
      </w:r>
      <w:r>
        <w:rPr>
          <w:b/>
          <w:bCs/>
        </w:rPr>
        <w:t xml:space="preserve">supremum</w:t>
      </w:r>
      <w:r>
        <w:t xml:space="preserve"> </w:t>
      </w:r>
      <w:r>
        <w:t xml:space="preserve">of (C^-_a). In particular (C^+_a) is bounded below by (a^{(0)}), and (C^-_a) is bounded above by (a^{(0)}). ∎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Def. 5.1.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κ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  <m:r>
            <m:t> </m:t>
          </m:r>
          <m:r>
            <m:t>κ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written 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κ</m:t>
                  </m:r>
                </m:e>
              </m:d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Intuition: each rational point (a) carries an</w:t>
      </w:r>
      <w:r>
        <w:t xml:space="preserve"> </w:t>
      </w:r>
      <w:r>
        <w:rPr>
          <w:b/>
          <w:bCs/>
        </w:rPr>
        <w:t xml:space="preserve">integer‑graded neighboring layer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Order (lexicographic).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a</m:t>
                  </m:r>
                </m:e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m:t>&lt;</m:t>
              </m:r>
              <m:sSup>
                <m:e>
                  <m:r>
                    <m:t>b</m:t>
                  </m:r>
                </m:e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rPr>
                          <m:sty m:val="p"/>
                        </m:rPr>
                        <m:t>ℓ</m:t>
                      </m:r>
                    </m:e>
                  </m:d>
                </m:sup>
              </m:sSup>
            </m:e>
          </m:d>
          <m:r>
            <m:rPr>
              <m:sty m:val="p"/>
            </m:rPr>
            <m:t>⇔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e>
          </m:d>
          <m:r>
            <m:rPr>
              <m:nor/>
              <m:sty m:val="p"/>
            </m:rPr>
            <m:t> or 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b</m:t>
              </m:r>
              <m:r>
                <m:rPr>
                  <m:nor/>
                  <m:sty m:val="p"/>
                </m:rPr>
                <m:t> and 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ℓ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Addition and integer scaling.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</m:e>
              </m:d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ℓ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ℓ</m:t>
                  </m:r>
                </m:e>
              </m:d>
            </m:sup>
          </m:sSup>
          <m:r>
            <m:rPr>
              <m:sty m:val="p"/>
            </m:rPr>
            <m:t>,</m:t>
          </m:r>
          <m:r>
            <m:t>  </m:t>
          </m:r>
          <m:r>
            <m:t>m</m:t>
          </m:r>
          <m:r>
            <m:rPr>
              <m:sty m:val="p"/>
            </m:rPr>
            <m:t>⋅</m:t>
          </m:r>
          <m:sSup>
            <m:e>
              <m:r>
                <m:t>a</m:t>
              </m:r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m</m:t>
                  </m:r>
                  <m:r>
                    <m:t>a</m:t>
                  </m:r>
                </m:e>
              </m:d>
            </m:e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m</m:t>
                  </m:r>
                  <m:r>
                    <m:t>k</m:t>
                  </m:r>
                </m:e>
              </m:d>
            </m:sup>
          </m:sSup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Z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t xml:space="preserve">Intuitive model. (M</w:t>
      </w:r>
      <w:r>
        <w:t xml:space="preserve">,</w:t>
      </w:r>
      <w:r>
        <w:t xml:space="preserve">) with a</w:t>
      </w:r>
      <w:r>
        <w:t xml:space="preserve"> </w:t>
      </w:r>
      <w:r>
        <w:rPr>
          <w:b/>
          <w:bCs/>
        </w:rPr>
        <w:t xml:space="preserve">formal first‑order infinitesimal</w:t>
      </w:r>
      <w:r>
        <w:t xml:space="preserve"> </w:t>
      </w:r>
      <w:r>
        <w:t xml:space="preserve">(</w:t>
      </w:r>
      <w:r>
        <w:t xml:space="preserve">&gt;0). Reading (a^{(k)}) as (a+k</w:t>
      </w:r>
      <w:r>
        <w:t xml:space="preserve">), the symbols</w:t>
      </w:r>
      <w:r>
        <w:t xml:space="preserve"> </w:t>
      </w:r>
      <w:r>
        <w:rPr>
          <w:rStyle w:val="VerbatimChar"/>
        </w:rPr>
        <w:t xml:space="preserve">##/♭♭</w:t>
      </w:r>
      <w:r>
        <w:t xml:space="preserve"> </w:t>
      </w:r>
      <w:r>
        <w:t xml:space="preserve">correspond to adding/subtracting (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Examples (</w:t>
      </w:r>
      <w:r>
        <w:rPr>
          <w:b/>
          <w:bCs/>
        </w:rPr>
        <w:t xml:space="preserve">“adding/removing symbols”</w:t>
      </w:r>
      <w:r>
        <w:rPr>
          <w:b/>
          <w:bCs/>
        </w:rP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(1</w:t>
      </w:r>
      <w:r>
        <w:rPr>
          <w:vertAlign w:val="superscript"/>
        </w:rPr>
        <w:t xml:space="preserve">{(-1)}+1</w:t>
      </w:r>
      <w:r>
        <w:t xml:space="preserve">{(+1)}=2^{(0)})</w:t>
      </w:r>
    </w:p>
    <w:p>
      <w:pPr>
        <w:pStyle w:val="Compact"/>
        <w:numPr>
          <w:ilvl w:val="0"/>
          <w:numId w:val="1008"/>
        </w:numPr>
      </w:pPr>
      <w:r>
        <w:t xml:space="preserve">(0</w:t>
      </w:r>
      <w:r>
        <w:rPr>
          <w:vertAlign w:val="superscript"/>
        </w:rPr>
        <w:t xml:space="preserve">{(+2)}-0</w:t>
      </w:r>
      <w:r>
        <w:t xml:space="preserve">{(+3)}=0^{(-1)})</w:t>
      </w:r>
    </w:p>
    <w:p>
      <w:pPr>
        <w:pStyle w:val="Compact"/>
        <w:numPr>
          <w:ilvl w:val="0"/>
          <w:numId w:val="1008"/>
        </w:numPr>
      </w:pPr>
      <w:r>
        <w:t xml:space="preserve">(2</w:t>
      </w:r>
      <w:r>
        <w:rPr>
          <w:vertAlign w:val="superscript"/>
        </w:rPr>
        <w:t xml:space="preserve">{(+2)}</w:t>
      </w:r>
      <w:r>
        <w:rPr>
          <w:vertAlign w:val="superscript"/>
        </w:rPr>
        <w:t xml:space="preserve">(1/2)=1</w:t>
      </w:r>
      <w:r>
        <w:t xml:space="preserve">{(+1)})</w:t>
      </w:r>
      <w:r>
        <w:br/>
      </w:r>
      <w:r>
        <w:t xml:space="preserve">(Note: division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closed in (M); interpret this as scalar multiplication by a rational.)</w:t>
      </w:r>
    </w:p>
    <w:p>
      <w:pPr>
        <w:pStyle w:val="FirstParagraph"/>
      </w:pPr>
      <w:r>
        <w:rPr>
          <w:b/>
          <w:bCs/>
        </w:rPr>
        <w:t xml:space="preserve">Non‑reducible examples (leaving the integer layer).</w:t>
      </w:r>
      <w:r>
        <w:t xml:space="preserve"> </w:t>
      </w:r>
      <w:r>
        <w:t xml:space="preserve">(1^{(+1)}/2), (1^{(+1)}/3), (1/1^{(+1)}), (1</w:t>
      </w:r>
      <w:r>
        <w:rPr>
          <w:vertAlign w:val="superscript"/>
        </w:rPr>
        <w:t xml:space="preserve">{(-1)}/1</w:t>
      </w:r>
      <w:r>
        <w:t xml:space="preserve">{(+1)}), etc.</w:t>
      </w:r>
    </w:p>
    <w:p>
      <w:pPr>
        <w:pStyle w:val="BlockText"/>
      </w:pPr>
      <w:r>
        <w:t xml:space="preserve">Summary. (M) is an abelian group under addition with integer scaling, but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closed under general division. We remedy this by forming fractions (next section).</w:t>
      </w:r>
    </w:p>
    <w:bookmarkEnd w:id="27"/>
    <w:bookmarkStart w:id="28" w:name="coefficient-rules-and-indivisibility"/>
    <w:p>
      <w:pPr>
        <w:pStyle w:val="Heading3"/>
      </w:pPr>
      <w:r>
        <w:t xml:space="preserve">5.4 Coefficient rules (##/♭♭) and indivisibility</w:t>
      </w:r>
    </w:p>
    <w:p>
      <w:pPr>
        <w:pStyle w:val="FirstParagraph"/>
      </w:pPr>
      <w:r>
        <w:t xml:space="preserve">Define (S</w:t>
      </w:r>
      <w:r>
        <w:rPr>
          <w:vertAlign w:val="superscript"/>
        </w:rPr>
        <w:t xml:space="preserve">{+}(a):=a</w:t>
      </w:r>
      <w:r>
        <w:t xml:space="preserve">{(+1)}) ((=a##)), (S</w:t>
      </w:r>
      <w:r>
        <w:rPr>
          <w:vertAlign w:val="superscript"/>
        </w:rPr>
        <w:t xml:space="preserve">{-}(a):=a</w:t>
      </w:r>
      <w:r>
        <w:t xml:space="preserve">{(-1)}) ((=a,!</w:t>
      </w:r>
      <w:r>
        <w:t xml:space="preserve">)). Repetition: ((S</w:t>
      </w:r>
      <w:r>
        <w:rPr>
          <w:vertAlign w:val="superscript"/>
        </w:rPr>
        <w:t xml:space="preserve">{+})</w:t>
      </w:r>
      <w:r>
        <w:t xml:space="preserve">{k}(a)=a^{(+k)}), ((S</w:t>
      </w:r>
      <w:r>
        <w:rPr>
          <w:vertAlign w:val="superscript"/>
        </w:rPr>
        <w:t xml:space="preserve">{-})</w:t>
      </w:r>
      <w:r>
        <w:t xml:space="preserve">{k}(a)=a^{(-k)}) ((k</w:t>
      </w:r>
      <w:r>
        <w:t xml:space="preserve">)).</w:t>
      </w:r>
    </w:p>
    <w:p>
      <w:pPr>
        <w:pStyle w:val="BodyText"/>
      </w:pPr>
      <w:r>
        <w:rPr>
          <w:b/>
          <w:bCs/>
        </w:rPr>
        <w:t xml:space="preserve">Laws (linearity w.r.t. addition).</w:t>
      </w:r>
    </w:p>
    <w:p>
      <w:pPr>
        <w:pStyle w:val="Compact"/>
        <w:numPr>
          <w:ilvl w:val="0"/>
          <w:numId w:val="1009"/>
        </w:numPr>
      </w:pPr>
      <w:r>
        <w:t xml:space="preserve">(a</w:t>
      </w:r>
      <w:r>
        <w:rPr>
          <w:vertAlign w:val="superscript"/>
        </w:rPr>
        <w:t xml:space="preserve">{(k)}+b</w:t>
      </w:r>
      <w:r>
        <w:t xml:space="preserve">{(</w:t>
      </w:r>
      <w:r>
        <w:t xml:space="preserve">)}=(a+b)^{(k+</w:t>
      </w:r>
      <w:r>
        <w:t xml:space="preserve">)}).</w:t>
      </w:r>
    </w:p>
    <w:p>
      <w:pPr>
        <w:pStyle w:val="Compact"/>
        <w:numPr>
          <w:ilvl w:val="0"/>
          <w:numId w:val="1009"/>
        </w:numPr>
      </w:pPr>
      <w:r>
        <w:t xml:space="preserve">(m</w:t>
      </w:r>
      <w:r>
        <w:t xml:space="preserve">a</w:t>
      </w:r>
      <w:r>
        <w:rPr>
          <w:vertAlign w:val="superscript"/>
        </w:rPr>
        <w:t xml:space="preserve">{(k)}=(ma)</w:t>
      </w:r>
      <w:r>
        <w:t xml:space="preserve">{(mk)}) ((m</w:t>
      </w:r>
      <w:r>
        <w:t xml:space="preserve">)).</w:t>
      </w:r>
    </w:p>
    <w:p>
      <w:pPr>
        <w:pStyle w:val="FirstParagraph"/>
      </w:pPr>
      <w:r>
        <w:rPr>
          <w:b/>
          <w:bCs/>
        </w:rPr>
        <w:t xml:space="preserve">Indivisibility (integer gradedness).</w:t>
      </w:r>
      <w:r>
        <w:t xml:space="preserve"> </w:t>
      </w:r>
      <w:r>
        <w:rPr>
          <w:b/>
          <w:bCs/>
        </w:rPr>
        <w:t xml:space="preserve">Prop. 5.4.1.</w:t>
      </w:r>
      <w:r>
        <w:t xml:space="preserve"> </w:t>
      </w:r>
      <w:r>
        <w:t xml:space="preserve">There is</w:t>
      </w:r>
      <w:r>
        <w:t xml:space="preserve"> </w:t>
      </w:r>
      <w:r>
        <w:rPr>
          <w:b/>
          <w:bCs/>
        </w:rPr>
        <w:t xml:space="preserve">no half‑step in ****(M)</w:t>
      </w:r>
      <w:r>
        <w:t xml:space="preserve">: there is no (x</w:t>
      </w:r>
      <w:r>
        <w:t xml:space="preserve">M) with (2x=a^{(+1)}).</w:t>
      </w:r>
      <w:r>
        <w:br/>
      </w:r>
      <w:r>
        <w:rPr>
          <w:i/>
          <w:iCs/>
        </w:rPr>
        <w:t xml:space="preserve">Proof (</w:t>
      </w:r>
      <w:r>
        <w:rPr>
          <w:b/>
          <w:bCs/>
          <w:i/>
          <w:iCs/>
        </w:rPr>
        <w:t xml:space="preserve">(</w:t>
      </w:r>
      <w:r>
        <w:rPr>
          <w:b/>
          <w:bCs/>
          <w:i/>
          <w:iCs/>
        </w:rPr>
        <w:t xml:space="preserve">)</w:t>
      </w:r>
      <w:r>
        <w:rPr>
          <w:i/>
          <w:iCs/>
        </w:rPr>
        <w:t xml:space="preserve">-model).</w:t>
      </w:r>
      <w:r>
        <w:t xml:space="preserve"> </w:t>
      </w:r>
      <w:r>
        <w:t xml:space="preserve">Writing (x=r+m</w:t>
      </w:r>
      <w:r>
        <w:t xml:space="preserve">) with (r</w:t>
      </w:r>
      <w:r>
        <w:t xml:space="preserve">, m</w:t>
      </w:r>
      <w:r>
        <w:t xml:space="preserve">), we would need (2r=0) and (2m=1), impossible. ∎</w:t>
      </w:r>
    </w:p>
    <w:p>
      <w:pPr>
        <w:pStyle w:val="BodyText"/>
      </w:pPr>
      <w:r>
        <w:rPr>
          <w:b/>
          <w:bCs/>
        </w:rPr>
        <w:t xml:space="preserve">Cor. 5.4.2 (fractional steps live in CR).</w:t>
      </w:r>
      <w:r>
        <w:t xml:space="preserve"> </w:t>
      </w:r>
      <w:r>
        <w:t xml:space="preserve">In (</w:t>
      </w:r>
      <w:r>
        <w:t xml:space="preserve">) an element like (a</w:t>
      </w:r>
      <w:r>
        <w:rPr>
          <w:vertAlign w:val="superscript"/>
        </w:rPr>
        <w:t xml:space="preserve">{(+1)}/(2</w:t>
      </w:r>
      <w:r>
        <w:t xml:space="preserve">{(0)})) exists (a</w:t>
      </w:r>
      <w:r>
        <w:t xml:space="preserve"> </w:t>
      </w:r>
      <w:r>
        <w:t xml:space="preserve">“half‑step”</w:t>
      </w:r>
      <w:r>
        <w:t xml:space="preserve">), but it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an element of (M).</w:t>
      </w:r>
    </w:p>
    <w:p>
      <w:pPr>
        <w:pStyle w:val="Compact"/>
        <w:numPr>
          <w:ilvl w:val="0"/>
          <w:numId w:val="1010"/>
        </w:numPr>
      </w:pPr>
      <w:r>
        <w:t xml:space="preserve">For (a,b</w:t>
      </w:r>
      <w:r>
        <w:t xml:space="preserve">) and (i,j</w:t>
      </w:r>
      <w:r>
        <w:t xml:space="preserve">), (a</w:t>
      </w:r>
      <w:r>
        <w:rPr>
          <w:vertAlign w:val="superscript"/>
        </w:rPr>
        <w:t xml:space="preserve">{(i)}+b</w:t>
      </w:r>
      <w:r>
        <w:t xml:space="preserve">{(j)}=(a+b)^{(i+j)}).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Extend (S</w:t>
      </w:r>
      <w:r>
        <w:rPr>
          <w:vertAlign w:val="superscript"/>
        </w:rPr>
        <w:t xml:space="preserve">{+},S</w:t>
      </w:r>
      <w:r>
        <w:t xml:space="preserve">{-}) by (S</w:t>
      </w:r>
      <w:r>
        <w:rPr>
          <w:vertAlign w:val="superscript"/>
        </w:rPr>
        <w:t xml:space="preserve">{+}(a</w:t>
      </w:r>
      <w:r>
        <w:t xml:space="preserve">{(k)})=a^{(k+1)}), (S</w:t>
      </w:r>
      <w:r>
        <w:rPr>
          <w:vertAlign w:val="superscript"/>
        </w:rPr>
        <w:t xml:space="preserve">{-}(a</w:t>
      </w:r>
      <w:r>
        <w:t xml:space="preserve">{(k)})=a^{(k-1)}).</w:t>
      </w:r>
    </w:p>
    <w:p>
      <w:pPr>
        <w:pStyle w:val="FirstParagraph"/>
      </w:pPr>
      <w:r>
        <w:rPr>
          <w:b/>
          <w:bCs/>
        </w:rPr>
        <w:t xml:space="preserve">Cor. 5.5.1 (linearity).</w:t>
      </w:r>
      <w:r>
        <w:t xml:space="preserve"> </w:t>
      </w:r>
      <w:r>
        <w:t xml:space="preserve">(S</w:t>
      </w:r>
      <w:r>
        <w:rPr>
          <w:vertAlign w:val="superscript"/>
        </w:rPr>
        <w:t xml:space="preserve">{+}(x+y)=S</w:t>
      </w:r>
      <w:r>
        <w:t xml:space="preserve">{+}(x)+y=x+S^{+}(y)) and analogously for (S^{-}).</w:t>
      </w:r>
    </w:p>
    <w:p>
      <w:pPr>
        <w:pStyle w:val="BodyText"/>
      </w:pPr>
      <w:r>
        <w:rPr>
          <w:b/>
          <w:bCs/>
        </w:rPr>
        <w:t xml:space="preserve">Cor. 5.5.2 (uniform shift invariance).</w:t>
      </w:r>
      <w:r>
        <w:t xml:space="preserve"> </w:t>
      </w:r>
      <w:r>
        <w:t xml:space="preserve">For any (</w:t>
      </w:r>
      <w:r>
        <w:t xml:space="preserve">), (a</w:t>
      </w:r>
      <w:r>
        <w:rPr>
          <w:vertAlign w:val="superscript"/>
        </w:rPr>
        <w:t xml:space="preserve">{(i+</w:t>
      </w:r>
      <w:r>
        <w:rPr>
          <w:vertAlign w:val="superscript"/>
        </w:rPr>
        <w:t xml:space="preserve">)}+b</w:t>
      </w:r>
      <w:r>
        <w:t xml:space="preserve">{(j-</w:t>
      </w:r>
      <w:r>
        <w:t xml:space="preserve">)}=a</w:t>
      </w:r>
      <w:r>
        <w:rPr>
          <w:vertAlign w:val="superscript"/>
        </w:rPr>
        <w:t xml:space="preserve">{(i)}+b</w:t>
      </w:r>
      <w:r>
        <w:t xml:space="preserve">{(j)}).</w:t>
      </w:r>
    </w:p>
    <w:p>
      <w:pPr>
        <w:pStyle w:val="BodyText"/>
      </w:pPr>
      <w:r>
        <w:rPr>
          <w:b/>
          <w:bCs/>
        </w:rPr>
        <w:t xml:space="preserve">Cor. 5.5.3 (standard form of differences).</w:t>
      </w:r>
      <w:r>
        <w:t xml:space="preserve"> </w:t>
      </w:r>
      <w:r>
        <w:t xml:space="preserve">(a</w:t>
      </w:r>
      <w:r>
        <w:rPr>
          <w:vertAlign w:val="superscript"/>
        </w:rPr>
        <w:t xml:space="preserve">{(i)}-a</w:t>
      </w:r>
      <w:r>
        <w:t xml:space="preserve">{(j)}=0^{(i-j)}).</w:t>
      </w:r>
    </w:p>
    <w:p>
      <w:pPr>
        <w:pStyle w:val="BodyText"/>
      </w:pPr>
      <w:r>
        <w:t xml:space="preserve">Define (</w:t>
      </w:r>
      <w:r>
        <w:t xml:space="preserve">:</w:t>
      </w:r>
      <w:r>
        <w:t xml:space="preserve">M</w:t>
      </w:r>
      <w:r>
        <w:t xml:space="preserve">M) by (</w:t>
      </w:r>
      <w:r>
        <w:t xml:space="preserve">(n,a</w:t>
      </w:r>
      <w:r>
        <w:rPr>
          <w:vertAlign w:val="superscript"/>
        </w:rPr>
        <w:t xml:space="preserve">{(k)})=a</w:t>
      </w:r>
      <w:r>
        <w:t xml:space="preserve">{(k+n)}). Then (</w:t>
      </w:r>
      <w:r>
        <w:t xml:space="preserve">) is a group action; (S^{+}=</w:t>
      </w:r>
      <w:r>
        <w:t xml:space="preserve">(1,</w:t>
      </w:r>
      <w:r>
        <w:t xml:space="preserve">)), (S^{-}=</w:t>
      </w:r>
      <w:r>
        <w:t xml:space="preserve">(-1,</w:t>
      </w:r>
      <w:r>
        <w:t xml:space="preserve">)).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Def. 6.1.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R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|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  <m:r>
                <m:t> </m:t>
              </m:r>
            </m:e>
            <m:e>
              <m:r>
                <m:t> 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∈</m:t>
              </m:r>
              <m:r>
                <m:t>M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y</m:t>
              </m:r>
              <m:r>
                <m:rPr>
                  <m:sty m:val="p"/>
                </m:rPr>
                <m:t>≠</m:t>
              </m:r>
              <m:r>
                <m:t>0</m:t>
              </m:r>
            </m:e>
          </m:d>
          <m:r>
            <m:rPr>
              <m:sty m:val="p"/>
            </m:rPr>
            <m:t>/</m:t>
          </m:r>
          <m:r>
            <m:rPr>
              <m:sty m:val="p"/>
            </m:rPr>
            <m:t>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Equivalence/normalization.</w:t>
      </w:r>
      <w:r>
        <w:t xml:space="preserve"> </w:t>
      </w:r>
      <w:r>
        <w:t xml:space="preserve">(1) (x/y</w:t>
      </w:r>
      <w:r>
        <w:t xml:space="preserve">mx/my) for (m</w:t>
      </w:r>
      <w:r>
        <w:t xml:space="preserve">{0}); (2) put the denominator in a fixed normal form (positive rational part, integer layer); (3) reduce the fraction.</w:t>
      </w:r>
    </w:p>
    <w:p>
      <w:pPr>
        <w:pStyle w:val="BodyText"/>
      </w:pPr>
      <w:r>
        <w:rPr>
          <w:b/>
          <w:bCs/>
        </w:rPr>
        <w:t xml:space="preserve">Operations (closed under</w:t>
      </w:r>
      <w:r>
        <w:rPr>
          <w:b/>
          <w:bCs/>
        </w:rPr>
        <w:t xml:space="preserve"> </w:t>
      </w:r>
      <w:r>
        <w:t xml:space="preserve">******(+,-,</w:t>
      </w:r>
      <w:r>
        <w:t xml:space="preserve">,</w:t>
      </w:r>
      <w:r>
        <w:t xml:space="preserve">)********).**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±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t>v</m:t>
              </m:r>
              <m:r>
                <m:rPr>
                  <m:sty m:val="p"/>
                </m:rPr>
                <m:t>±</m:t>
              </m:r>
              <m:r>
                <m:t>y</m:t>
              </m:r>
              <m:r>
                <m:t>u</m:t>
              </m:r>
            </m:num>
            <m:den>
              <m:r>
                <m:t>y</m:t>
              </m:r>
              <m:r>
                <m:t>v</m:t>
              </m:r>
            </m:den>
          </m:f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t>u</m:t>
              </m:r>
            </m:num>
            <m:den>
              <m:r>
                <m:t>y</m:t>
              </m:r>
              <m:r>
                <m:t>v</m:t>
              </m:r>
            </m:den>
          </m:f>
          <m:r>
            <m:rPr>
              <m:sty m:val="p"/>
            </m:rPr>
            <m:t>,</m:t>
          </m:r>
          <m:r>
            <m:t> 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x</m:t>
              </m:r>
            </m:den>
          </m:f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Order.</w:t>
      </w:r>
      <w:r>
        <w:t xml:space="preserve"> </w:t>
      </w:r>
      <w:r>
        <w:t xml:space="preserve">Via the model (M</w:t>
      </w:r>
      <w:r>
        <w:t xml:space="preserve">) with (</w:t>
      </w:r>
      <w:r>
        <w:t xml:space="preserve">&gt;0), extend the</w:t>
      </w:r>
      <w:r>
        <w:t xml:space="preserve"> </w:t>
      </w:r>
      <w:r>
        <w:rPr>
          <w:b/>
          <w:bCs/>
        </w:rPr>
        <w:t xml:space="preserve">lexicographic</w:t>
      </w:r>
      <w:r>
        <w:t xml:space="preserve"> </w:t>
      </w:r>
      <w:r>
        <w:t xml:space="preserve">order to (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Embedding and countability.</w:t>
      </w:r>
      <w:r>
        <w:t xml:space="preserve"> </w:t>
      </w:r>
      <w:r>
        <w:t xml:space="preserve">The map (</w:t>
      </w:r>
      <w:r>
        <w:t xml:space="preserve">) is natural; (</w:t>
      </w:r>
      <w:r>
        <w:t xml:space="preserve">) is countable (e.g., encoded by (</w:t>
      </w:r>
      <w:r>
        <w:t xml:space="preserve">)).</w:t>
      </w:r>
    </w:p>
    <w:p>
      <w:pPr>
        <w:pStyle w:val="Compact"/>
        <w:numPr>
          <w:ilvl w:val="0"/>
          <w:numId w:val="1011"/>
        </w:numPr>
      </w:pPr>
      <w:r>
        <w:t xml:space="preserve">Examples: (1=1</w:t>
      </w:r>
      <w:r>
        <w:rPr>
          <w:vertAlign w:val="superscript"/>
        </w:rPr>
        <w:t xml:space="preserve">{(0)}/1</w:t>
      </w:r>
      <w:r>
        <w:t xml:space="preserve">{(0)}), (2=2</w:t>
      </w:r>
      <w:r>
        <w:rPr>
          <w:vertAlign w:val="superscript"/>
        </w:rPr>
        <w:t xml:space="preserve">{(0)}/1</w:t>
      </w:r>
      <w:r>
        <w:t xml:space="preserve">{(0)}), (0=0</w:t>
      </w:r>
      <w:r>
        <w:rPr>
          <w:vertAlign w:val="superscript"/>
        </w:rPr>
        <w:t xml:space="preserve">{(0)}/1</w:t>
      </w:r>
      <w:r>
        <w:t xml:space="preserve">{(0)}).</w:t>
      </w:r>
    </w:p>
    <w:p>
      <w:pPr>
        <w:pStyle w:val="BlockText"/>
      </w:pPr>
      <w:r>
        <w:t xml:space="preserve">Note. We</w:t>
      </w:r>
      <w:r>
        <w:t xml:space="preserve"> </w:t>
      </w:r>
      <w:r>
        <w:rPr>
          <w:b/>
          <w:bCs/>
        </w:rPr>
        <w:t xml:space="preserve">do not claim equality of values</w:t>
      </w:r>
      <w:r>
        <w:t xml:space="preserve"> </w:t>
      </w:r>
      <w:r>
        <w:t xml:space="preserve">with classical irrationals;</w:t>
      </w:r>
      <w:r>
        <w:t xml:space="preserve"> </w:t>
      </w:r>
      <w:r>
        <w:t xml:space="preserve">“irrational‑like”</w:t>
      </w:r>
      <w:r>
        <w:t xml:space="preserve"> </w:t>
      </w:r>
      <w:r>
        <w:t xml:space="preserve">here means</w:t>
      </w:r>
      <w:r>
        <w:t xml:space="preserve"> </w:t>
      </w:r>
      <w:r>
        <w:t xml:space="preserve">“not rational”</w:t>
      </w:r>
      <w:r>
        <w:t xml:space="preserve"> </w:t>
      </w:r>
      <w:r>
        <w:rPr>
          <w:b/>
          <w:bCs/>
        </w:rPr>
        <w:t xml:space="preserve">in this structure</w:t>
      </w:r>
      <w:r>
        <w:t xml:space="preserve">.</w:t>
      </w:r>
    </w:p>
    <w:p>
      <w:pPr>
        <w:pStyle w:val="FirstParagraph"/>
      </w:pPr>
      <w:r>
        <w:t xml:space="preserve">For a CR element (x/y) with denominator in normal form and positive rational part, there exist unique ((A,B)</w:t>
      </w:r>
      <w:r>
        <w:t xml:space="preserve">) such that</w:t>
      </w:r>
      <w:r>
        <w:t xml:space="preserve"> </w:t>
      </w:r>
      <w:r>
        <w:t xml:space="preserve">(x/y = A + B,</w:t>
      </w:r>
      <w:r>
        <w:t xml:space="preserve">.)</w:t>
      </w:r>
      <w:r>
        <w:t xml:space="preserve"> </w:t>
      </w:r>
      <w:r>
        <w:t xml:space="preserve">Concretely, with (x=a^{(k)}), (y=c^{(n)}) ((c&gt;0)) we have</w:t>
      </w:r>
      <w:r>
        <w:t xml:space="preserve"> </w:t>
      </w:r>
      <w:r>
        <w:t xml:space="preserve">(A=a/c,</w:t>
      </w:r>
      <w:r>
        <w:t xml:space="preserve">B=(kc-an)/c^2.)</w:t>
      </w:r>
      <w:r>
        <w:t xml:space="preserve"> </w:t>
      </w:r>
      <w:r>
        <w:rPr>
          <w:i/>
          <w:iCs/>
        </w:rPr>
        <w:t xml:space="preserve">Proof.</w:t>
      </w:r>
      <w:r>
        <w:t xml:space="preserve"> </w:t>
      </w:r>
      <w:r>
        <w:t xml:space="preserve">Multiply by ((c-n</w:t>
      </w:r>
      <w:r>
        <w:t xml:space="preserve">)/c) and use (</w:t>
      </w:r>
      <w:r>
        <w:t xml:space="preserve">^2=0). ∎</w:t>
      </w:r>
    </w:p>
    <w:bookmarkEnd w:id="28"/>
    <w:bookmarkStart w:id="29" w:name="definition-order-via-nf"/>
    <w:p>
      <w:pPr>
        <w:pStyle w:val="Heading3"/>
      </w:pPr>
      <w:r>
        <w:t xml:space="preserve">6.3 Definition (Order via NF)</w:t>
      </w:r>
    </w:p>
    <w:p>
      <w:pPr>
        <w:pStyle w:val="FirstParagraph"/>
      </w:pPr>
      <w:r>
        <w:t xml:space="preserve">Let (</w:t>
      </w:r>
      <w:r>
        <w:t xml:space="preserve">:</w:t>
      </w:r>
      <w:r>
        <w:t xml:space="preserve">) send (x/y) to ((A,B)) as in 6.2. Define ((A,B)&lt;(C,D)) iff ([A&lt;C]) or ([A=C</w:t>
      </w:r>
      <w:r>
        <w:t xml:space="preserve">B&lt;D]) (lexicographic). This yields a well‑defined total order on CR.</w:t>
      </w:r>
    </w:p>
    <w:bookmarkEnd w:id="29"/>
    <w:bookmarkStart w:id="30" w:name="proposition-orderpreserving-embeddings"/>
    <w:p>
      <w:pPr>
        <w:pStyle w:val="Heading3"/>
      </w:pPr>
      <w:r>
        <w:t xml:space="preserve">6.4 Proposition (Order‑preserving embeddings)</w:t>
      </w:r>
    </w:p>
    <w:p>
      <w:pPr>
        <w:pStyle w:val="Compact"/>
        <w:numPr>
          <w:ilvl w:val="0"/>
          <w:numId w:val="1012"/>
        </w:numPr>
      </w:pPr>
      <w:r>
        <w:t xml:space="preserve">(</w:t>
      </w:r>
      <w:r>
        <w:t xml:space="preserve">_M:M</w:t>
      </w:r>
      <w:r>
        <w:t xml:space="preserve">), (</w:t>
      </w:r>
      <w:r>
        <w:t xml:space="preserve">_M(x)=x/1^{(0)}), is injective and order‑preserving; (</w:t>
      </w:r>
      <w:r>
        <w:t xml:space="preserve">(</w:t>
      </w:r>
      <w:r>
        <w:t xml:space="preserve">_M(a^{(k)}))=(a,k)).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(</w:t>
      </w:r>
      <w:r>
        <w:rPr>
          <w:i/>
          <w:iCs/>
        </w:rPr>
        <w:t xml:space="preserve">:</w:t>
      </w:r>
      <w:r>
        <w:rPr>
          <w:i/>
          <w:iCs/>
        </w:rPr>
        <w:t xml:space="preserve">), (</w:t>
      </w:r>
      <w:r>
        <w:t xml:space="preserve">(a)=a</w:t>
      </w:r>
      <w:r>
        <w:rPr>
          <w:vertAlign w:val="superscript"/>
        </w:rPr>
        <w:t xml:space="preserve">{(0)}/1</w:t>
      </w:r>
      <w:r>
        <w:t xml:space="preserve">{(0)}), is injective and order‑preserving; (</w:t>
      </w:r>
      <w:r>
        <w:t xml:space="preserve">(</w:t>
      </w:r>
      <w:r>
        <w:t xml:space="preserve">_</w:t>
      </w:r>
      <w:r>
        <w:t xml:space="preserve">(a))=(a,0)).</w:t>
      </w:r>
    </w:p>
    <w:bookmarkEnd w:id="30"/>
    <w:bookmarkStart w:id="31" w:name="proposition-operations-via-nf"/>
    <w:p>
      <w:pPr>
        <w:pStyle w:val="Heading3"/>
      </w:pPr>
      <w:r>
        <w:t xml:space="preserve">6.5 Proposition (Operations via NF)</w:t>
      </w:r>
    </w:p>
    <w:p>
      <w:pPr>
        <w:pStyle w:val="FirstParagraph"/>
      </w:pPr>
      <w:r>
        <w:t xml:space="preserve">If (</w:t>
      </w:r>
      <w:r>
        <w:t xml:space="preserve">(x)=(A,B)) and (</w:t>
      </w:r>
      <w:r>
        <w:t xml:space="preserve">(y)=(C,D)), then</w:t>
      </w:r>
      <w:r>
        <w:br/>
      </w:r>
      <w:r>
        <w:t xml:space="preserve">(i) (</w:t>
      </w:r>
      <w:r>
        <w:t xml:space="preserve">(x</w:t>
      </w:r>
      <w:r>
        <w:t xml:space="preserve">y)=(A</w:t>
      </w:r>
      <w:r>
        <w:t xml:space="preserve">C,,B</w:t>
      </w:r>
      <w:r>
        <w:t xml:space="preserve">D));</w:t>
      </w:r>
      <w:r>
        <w:br/>
      </w:r>
      <w:r>
        <w:t xml:space="preserve">(ii) (</w:t>
      </w:r>
      <w:r>
        <w:t xml:space="preserve">(xy)=(AC,,AD+BC));</w:t>
      </w:r>
      <w:r>
        <w:br/>
      </w:r>
      <w:r>
        <w:t xml:space="preserve">(iii) if (A</w:t>
      </w:r>
      <w:r>
        <w:t xml:space="preserve">) then (</w:t>
      </w:r>
      <w:r>
        <w:t xml:space="preserve">(x</w:t>
      </w:r>
      <w:r>
        <w:rPr>
          <w:vertAlign w:val="superscript"/>
        </w:rPr>
        <w:t xml:space="preserve">{-1})=(1/A,,-B/A</w:t>
      </w:r>
      <w:r>
        <w:t xml:space="preserve">2)).</w:t>
      </w:r>
    </w:p>
    <w:bookmarkEnd w:id="31"/>
    <w:bookmarkStart w:id="32" w:name="proposition-monotonicity-in-cr"/>
    <w:p>
      <w:pPr>
        <w:pStyle w:val="Heading3"/>
      </w:pPr>
      <w:r>
        <w:t xml:space="preserve">6.6 Proposition (Monotonicity in CR)</w:t>
      </w:r>
    </w:p>
    <w:p>
      <w:pPr>
        <w:pStyle w:val="Compact"/>
        <w:numPr>
          <w:ilvl w:val="0"/>
          <w:numId w:val="1013"/>
        </w:numPr>
      </w:pPr>
      <w:r>
        <w:t xml:space="preserve">If (x&lt;y) then (x+z&lt;y+z) for all (z</w:t>
      </w:r>
      <w:r>
        <w:t xml:space="preserve">).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If (</w:t>
      </w:r>
      <w:r>
        <w:t xml:space="preserve">(z)=(C,D)) with (C&gt;0), then (x&lt;y</w:t>
      </w:r>
      <w:r>
        <w:t xml:space="preserve">xz&lt;yz). In particular, if (y&gt;0) (positive constant term in NF) then (x/y &lt; x’/y</w:t>
      </w:r>
      <w:r>
        <w:t xml:space="preserve">x&lt;x’).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For (0&lt;x&lt;y) with positive constant terms, (1/y&lt;1/x) (order reversal for reciprocals of positives).</w:t>
      </w:r>
      <w:r>
        <w:br/>
      </w:r>
      <w:r>
        <w:rPr>
          <w:i/>
          <w:iCs/>
        </w:rPr>
        <w:t xml:space="preserve">Proof.</w:t>
      </w:r>
      <w:r>
        <w:t xml:space="preserve"> </w:t>
      </w:r>
      <w:r>
        <w:t xml:space="preserve">Compare constant terms via NF; lexicographic order handles ties with the (</w:t>
      </w:r>
      <w:r>
        <w:t xml:space="preserve">)‑coefficients. ∎</w:t>
      </w:r>
    </w:p>
    <w:p>
      <w:pPr>
        <w:pStyle w:val="BlockText"/>
      </w:pPr>
      <w:r>
        <w:t xml:space="preserve">Caution 6.6.1. Multiplying by a</w:t>
      </w:r>
      <w:r>
        <w:t xml:space="preserve"> </w:t>
      </w:r>
      <w:r>
        <w:rPr>
          <w:b/>
          <w:bCs/>
        </w:rPr>
        <w:t xml:space="preserve">negative</w:t>
      </w:r>
      <w:r>
        <w:t xml:space="preserve"> </w:t>
      </w:r>
      <w:r>
        <w:t xml:space="preserve">element reverses the order.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Def. 7.1.</w:t>
      </w:r>
      <w:r>
        <w:t xml:space="preserve"> </w:t>
      </w:r>
      <w:r>
        <w:t xml:space="preserve">For (a,b</w:t>
      </w:r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</m:e>
          </m:d>
          <m:r>
            <m:rPr>
              <m:sty m:val="p"/>
            </m:rPr>
            <m:t>∈</m:t>
          </m:r>
          <m:r>
            <m:rPr>
              <m:sty m:val="p"/>
            </m:rPr>
            <m:t>C</m:t>
          </m:r>
          <m:r>
            <m:rPr>
              <m:sty m:val="p"/>
            </m:rPr>
            <m:t>C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Operations</w:t>
      </w:r>
      <w:r>
        <w:t xml:space="preserve"> </w:t>
      </w:r>
      <w:r>
        <w:t xml:space="preserve">(the matrix representation recovers the usual complex arithmetic):</w:t>
      </w:r>
    </w:p>
    <w:p>
      <w:pPr>
        <w:pStyle w:val="Compact"/>
        <w:numPr>
          <w:ilvl w:val="0"/>
          <w:numId w:val="1014"/>
        </w:numPr>
      </w:pPr>
      <w:r>
        <w:t xml:space="preserve">Sum: (((a,-b),(b,a))+((c,-d),(d,c))=((a+c,-(b+d)),(b+d,a+c)))</w:t>
      </w:r>
    </w:p>
    <w:p>
      <w:pPr>
        <w:pStyle w:val="Compact"/>
        <w:numPr>
          <w:ilvl w:val="0"/>
          <w:numId w:val="1014"/>
        </w:numPr>
      </w:pPr>
      <w:r>
        <w:t xml:space="preserve">Product: (((a,-b),(b,a))((c,-d),(d,c))=((ac-bd, -(ad+bc)),(ad+bc, ac-bd)))</w:t>
      </w:r>
    </w:p>
    <w:p>
      <w:pPr>
        <w:pStyle w:val="Compact"/>
        <w:numPr>
          <w:ilvl w:val="0"/>
          <w:numId w:val="1014"/>
        </w:numPr>
      </w:pPr>
      <w:r>
        <w:t xml:space="preserve">Units: (1=((1,0),(0,1))), (i:=((0,-1),(1,0))), (i^2=-1)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ontainment-of-number-systems-fixed"/>
    <w:p>
      <w:pPr>
        <w:pStyle w:val="Heading2"/>
      </w:pPr>
      <w:r>
        <w:t xml:space="preserve">8. Containment of Number Systems — fixed</w:t>
      </w:r>
    </w:p>
    <w:p>
      <w:pPr>
        <w:pStyle w:val="FirstParagraph"/>
      </w:pPr>
      <w:r>
        <w:t xml:space="preserve">Use the following display‑math block to replace the red line:</w:t>
      </w:r>
    </w:p>
    <w:p>
      <w:pPr>
        <w:pStyle w:val="BodyText"/>
      </w:pPr>
      <w:r>
        <w:t xml:space="preserve">N (repeated application)  ⊂  Z (signed naturals)  ⊂  Q (fractions of integers)  ⊂  M (rational near-limits: upper/lower layers)  ⊂  CR (fractions of M)  ⊂  CC (matrix form of CR)</w:t>
      </w:r>
      <w:r>
        <w:t xml:space="preserve"> </w:t>
      </w:r>
      <w:r>
        <w:t xml:space="preserve"> </w:t>
      </w:r>
      <w:r>
        <w:t xml:space="preserve"> </w:t>
      </w:r>
      <w:r>
        <w:t xml:space="preserve">\;</w:t>
      </w:r>
      <w:r>
        <w:t xml:space="preserve">\;</w:t>
      </w:r>
      <w:r>
        <w:t xml:space="preserve"> </w:t>
      </w:r>
      <w:r>
        <w:t xml:space="preserve"> </w:t>
      </w:r>
      <w:r>
        <w:t xml:space="preserve"> </w:t>
      </w:r>
      <w:r>
        <w:t xml:space="preserve">\;</w:t>
      </w:r>
      <w:r>
        <w:t xml:space="preserve">\;</w:t>
      </w:r>
      <w:r>
        <w:t xml:space="preserve"> </w:t>
      </w:r>
      <w:r>
        <w:t xml:space="preserve"> </w:t>
      </w:r>
      <w:r>
        <w:t xml:space="preserve"> </w:t>
      </w:r>
      <w:r>
        <w:t xml:space="preserve">\;</w:t>
      </w:r>
      <w:r>
        <w:t xml:space="preserve">\; M </w:t>
      </w:r>
      <w:r>
        <w:t xml:space="preserve"> </w:t>
      </w:r>
      <w:r>
        <w:t xml:space="preserve">\;</w:t>
      </w:r>
      <w:r>
        <w:t xml:space="preserve">\;</w:t>
      </w:r>
      <w:r>
        <w:t xml:space="preserve"> </w:t>
      </w:r>
      <w:r>
        <w:t xml:space="preserve"> </w:t>
      </w:r>
      <w:r>
        <w:t xml:space="preserve"> </w:t>
      </w:r>
      <w:r>
        <w:t xml:space="preserve">M</w:t>
      </w:r>
      <w:r>
        <w:t xml:space="preserve"> </w:t>
      </w:r>
      <w:r>
        <w:t xml:space="preserve"> </w:t>
      </w:r>
      <w:r>
        <w:t xml:space="preserve">\;</w:t>
      </w:r>
      <w:r>
        <w:t xml:space="preserve">\;</w:t>
      </w:r>
      <w:r>
        <w:t xml:space="preserve"> </w:t>
      </w:r>
      <w:r>
        <w:t xml:space="preserve"> </w:t>
      </w:r>
      <w:r>
        <w:t xml:space="preserve"> </w:t>
      </w:r>
      <w:r>
        <w:t xml:space="preserve"> </w:t>
      </w:r>
    </w:p>
    <w:p>
      <w:pPr>
        <w:pStyle w:val="BlockText"/>
      </w:pPr>
      <w:r>
        <w:t xml:space="preserve">Note. (M,</w:t>
      </w:r>
      <w:r>
        <w:t xml:space="preserve">,</w:t>
      </w:r>
      <w:r>
        <w:t xml:space="preserve">) are structures specific to this work; extensions to new quaternions or octonions are possible.</w:t>
      </w:r>
    </w:p>
    <w:p>
      <w:r>
        <w:pict>
          <v:rect style="width:0;height:1.5pt" o:hralign="center" o:hrstd="t" o:hr="t"/>
        </w:pict>
      </w:r>
    </w:p>
    <w:bookmarkEnd w:id="34"/>
    <w:bookmarkStart w:id="35" w:name="column-on-decimal-notation"/>
    <w:p>
      <w:pPr>
        <w:pStyle w:val="Heading2"/>
      </w:pPr>
      <w:r>
        <w:t xml:space="preserve">Column: On Decimal Notation</w:t>
      </w:r>
    </w:p>
    <w:p>
      <w:pPr>
        <w:pStyle w:val="FirstParagraph"/>
      </w:pPr>
      <w:r>
        <w:t xml:space="preserve">Finite decimals and repeating decimals (e.g.,</w:t>
      </w:r>
      <w:r>
        <w:t xml:space="preserve"> </w:t>
      </w:r>
      <w:r>
        <w:rPr>
          <w:rStyle w:val="VerbatimChar"/>
        </w:rPr>
        <w:t xml:space="preserve">0.333…</w:t>
      </w:r>
      <w:r>
        <w:t xml:space="preserve">) are human‑readable with</w:t>
      </w:r>
      <w:r>
        <w:t xml:space="preserve"> </w:t>
      </w:r>
      <w:r>
        <w:rPr>
          <w:rStyle w:val="VerbatimChar"/>
        </w:rPr>
        <w:t xml:space="preserve">…</w:t>
      </w:r>
      <w:r>
        <w:t xml:space="preserve">, but</w:t>
      </w:r>
      <w:r>
        <w:t xml:space="preserve"> </w:t>
      </w:r>
      <w:r>
        <w:rPr>
          <w:b/>
          <w:bCs/>
        </w:rPr>
        <w:t xml:space="preserve">identity as numbers</w:t>
      </w:r>
      <w:r>
        <w:t xml:space="preserve"> </w:t>
      </w:r>
      <w:r>
        <w:t xml:space="preserve">depends on the ground field. Here we</w:t>
      </w:r>
      <w:r>
        <w:t xml:space="preserve"> </w:t>
      </w:r>
      <w:r>
        <w:rPr>
          <w:b/>
          <w:bCs/>
        </w:rPr>
        <w:t xml:space="preserve">do not adopt</w:t>
      </w:r>
      <w:r>
        <w:t xml:space="preserve"> </w:t>
      </w:r>
      <w:r>
        <w:t xml:space="preserve">the classical identity (0.999</w:t>
      </w:r>
      <w:r>
        <w:t xml:space="preserve">=1); we treat it as the</w:t>
      </w:r>
      <w:r>
        <w:t xml:space="preserve"> </w:t>
      </w:r>
      <w:r>
        <w:rPr>
          <w:b/>
          <w:bCs/>
        </w:rPr>
        <w:t xml:space="preserve">left neighbor class</w:t>
      </w:r>
      <w:r>
        <w:t xml:space="preserve"> </w:t>
      </w:r>
      <w:r>
        <w:rPr>
          <w:rStyle w:val="VerbatimChar"/>
        </w:rPr>
        <w:t xml:space="preserve">1♭♭</w:t>
      </w:r>
      <w:r>
        <w:t xml:space="preserve"> </w:t>
      </w:r>
      <w:r>
        <w:t xml:space="preserve">in our setting.</w:t>
      </w:r>
    </w:p>
    <w:p>
      <w:r>
        <w:pict>
          <v:rect style="width:0;height:1.5pt" o:hralign="center" o:hrstd="t" o:hr="t"/>
        </w:pict>
      </w:r>
    </w:p>
    <w:bookmarkEnd w:id="35"/>
    <w:bookmarkStart w:id="36" w:name="X50e286a399823a709b5711b32dceb93adef6b40"/>
    <w:p>
      <w:pPr>
        <w:pStyle w:val="Heading2"/>
      </w:pPr>
      <w:r>
        <w:t xml:space="preserve">Appendix A: Notes for a λ‑Calculus Interpreter</w:t>
      </w:r>
    </w:p>
    <w:p>
      <w:pPr>
        <w:pStyle w:val="Compact"/>
        <w:numPr>
          <w:ilvl w:val="0"/>
          <w:numId w:val="1015"/>
        </w:numPr>
      </w:pPr>
      <w:r>
        <w:t xml:space="preserve">Data types in this chapter: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Nat := repeat f</w:t>
      </w:r>
      <w:r>
        <w:t xml:space="preserve"> </w:t>
      </w:r>
      <w:r>
        <w:t xml:space="preserve">(</w:t>
      </w:r>
      <w:r>
        <w:rPr>
          <w:rStyle w:val="VerbatimChar"/>
        </w:rPr>
        <w:t xml:space="preserve">0=f()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succ(n)=f(n)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Int := (sgn∈{0,1}, Nat)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Rat := (Int, Int≠0)</w:t>
      </w:r>
      <w:r>
        <w:t xml:space="preserve"> </w:t>
      </w:r>
      <w:r>
        <w:t xml:space="preserve">with normalization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Rel := Z</w:t>
      </w:r>
      <w:r>
        <w:t xml:space="preserve"> </w:t>
      </w:r>
      <w:r>
        <w:t xml:space="preserve">(layer index for</w:t>
      </w:r>
      <w:r>
        <w:t xml:space="preserve"> </w:t>
      </w:r>
      <w:r>
        <w:rPr>
          <w:rStyle w:val="VerbatimChar"/>
        </w:rPr>
        <w:t xml:space="preserve">…♭♭, a, a##, …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M := (Rel, Rat)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is an integer layer; order is lexicographic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CR := Frac(M)</w:t>
      </w:r>
      <w:r>
        <w:t xml:space="preserve"> </w:t>
      </w:r>
      <w:r>
        <w:t xml:space="preserve">(integer scaling normalization + reduction)</w:t>
      </w:r>
    </w:p>
    <w:p>
      <w:pPr>
        <w:pStyle w:val="Compact"/>
        <w:numPr>
          <w:ilvl w:val="0"/>
          <w:numId w:val="1015"/>
        </w:numPr>
      </w:pPr>
      <w:r>
        <w:t xml:space="preserve">Formatting: line breaks allowed inside formulas,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at end of a displayed formula; comments start after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Example (upper representatives for</w:t>
      </w:r>
      <w:r>
        <w:t xml:space="preserve"> </w:t>
      </w:r>
      <w:r>
        <w:rPr>
          <w:rStyle w:val="VerbatimChar"/>
        </w:rPr>
        <w:t xml:space="preserve">a=5</w:t>
      </w:r>
      <w:r>
        <w:t xml:space="preserve">):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((1·5+1)/1) = 6/1; ((2·5+1)/2) = 11/2; …</w:t>
      </w:r>
      <w:r>
        <w:t xml:space="preserve"> </w:t>
      </w:r>
      <w:r>
        <w:t xml:space="preserve">is a monotone decreasing family approaching 5.</w:t>
      </w:r>
    </w:p>
    <w:p>
      <w:r>
        <w:pict>
          <v:rect style="width:0;height:1.5pt" o:hralign="center" o:hrstd="t" o:hr="t"/>
        </w:pict>
      </w:r>
    </w:p>
    <w:bookmarkEnd w:id="36"/>
    <w:bookmarkStart w:id="37" w:name="appendix-b-samples"/>
    <w:p>
      <w:pPr>
        <w:pStyle w:val="Heading2"/>
      </w:pPr>
      <w:r>
        <w:t xml:space="preserve">Appendix B: Samples</w:t>
      </w:r>
    </w:p>
    <w:p>
      <w:pPr>
        <w:pStyle w:val="FirstParagraph"/>
      </w:pPr>
      <w:r>
        <w:rPr>
          <w:b/>
          <w:bCs/>
        </w:rPr>
        <w:t xml:space="preserve">Inequalities for neighbors.</w:t>
      </w:r>
      <w:r>
        <w:t xml:space="preserve"> </w:t>
      </w:r>
      <w:r>
        <w:t xml:space="preserve">(a^{(-2)} &lt; a^{(-1)} &lt; a &lt; a^{(+1)} &lt; a^{(+2)}).</w:t>
      </w:r>
    </w:p>
    <w:p>
      <w:pPr>
        <w:pStyle w:val="BodyText"/>
      </w:pPr>
      <w:r>
        <w:rPr>
          <w:b/>
          <w:bCs/>
        </w:rPr>
        <w:t xml:space="preserve">“Add/remove symbol”</w:t>
      </w:r>
      <w:r>
        <w:rPr>
          <w:b/>
          <w:bCs/>
        </w:rPr>
        <w:t xml:space="preserve"> </w:t>
      </w:r>
      <w:r>
        <w:rPr>
          <w:b/>
          <w:bCs/>
        </w:rPr>
        <w:t xml:space="preserve">identities.</w:t>
      </w:r>
      <w:r>
        <w:t xml:space="preserve"> </w:t>
      </w:r>
      <w:r>
        <w:t xml:space="preserve">(1</w:t>
      </w:r>
      <w:r>
        <w:rPr>
          <w:vertAlign w:val="superscript"/>
        </w:rPr>
        <w:t xml:space="preserve">{(-1)}+1</w:t>
      </w:r>
      <w:r>
        <w:t xml:space="preserve">{(+1)}=2), (0</w:t>
      </w:r>
      <w:r>
        <w:rPr>
          <w:vertAlign w:val="superscript"/>
        </w:rPr>
        <w:t xml:space="preserve">{(+2)}-0</w:t>
      </w:r>
      <w:r>
        <w:t xml:space="preserve">{(+3)}=0^{(-1)}).</w:t>
      </w:r>
    </w:p>
    <w:p>
      <w:pPr>
        <w:pStyle w:val="BodyText"/>
      </w:pPr>
      <w:r>
        <w:rPr>
          <w:b/>
          <w:bCs/>
        </w:rPr>
        <w:t xml:space="preserve">Non‑reducible examples.</w:t>
      </w:r>
      <w:r>
        <w:t xml:space="preserve"> </w:t>
      </w:r>
      <w:r>
        <w:t xml:space="preserve">(1^{(+1)}/2), (1^{(+1)}/3),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(end)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831">
    <w:nsid w:val="00A99831"/>
    <w:multiLevelType w:val="multilevel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</w:lvl>
    <w:lvl w:ilvl="3">
      <w:start w:val="1"/>
      <w:numFmt w:val="upperLetter"/>
      <w:lvlText w:val="(%4)"/>
      <w:lvlJc w:val="left"/>
      <w:pPr>
        <w:ind w:left="2880" w:hanging="360"/>
      </w:pPr>
    </w:lvl>
    <w:lvl w:ilvl="4">
      <w:start w:val="1"/>
      <w:numFmt w:val="upperLetter"/>
      <w:lvlText w:val="(%5)"/>
      <w:lvlJc w:val="left"/>
      <w:pPr>
        <w:ind w:left="3600" w:hanging="360"/>
      </w:pPr>
    </w:lvl>
    <w:lvl w:ilvl="5">
      <w:start w:val="1"/>
      <w:numFmt w:val="upperLetter"/>
      <w:lvlText w:val="(%6)"/>
      <w:lvlJc w:val="left"/>
      <w:pPr>
        <w:ind w:left="4320" w:hanging="360"/>
      </w:pPr>
    </w:lvl>
    <w:lvl w:ilvl="6">
      <w:start w:val="1"/>
      <w:numFmt w:val="upperLetter"/>
      <w:lvlText w:val="(%7)"/>
      <w:lvlJc w:val="left"/>
      <w:pPr>
        <w:ind w:left="5040" w:hanging="360"/>
      </w:pPr>
    </w:lvl>
    <w:lvl w:ilvl="7">
      <w:start w:val="1"/>
      <w:numFmt w:val="upperLetter"/>
      <w:lvlText w:val="(%8)"/>
      <w:lvlJc w:val="left"/>
      <w:pPr>
        <w:ind w:left="5760" w:hanging="360"/>
      </w:pPr>
    </w:lvl>
    <w:lvl w:ilvl="8">
      <w:start w:val="1"/>
      <w:numFmt w:val="upperLetter"/>
      <w:lvlText w:val="(%9)"/>
      <w:lvlJc w:val="left"/>
      <w:pPr>
        <w:ind w:left="6480" w:hanging="360"/>
      </w:p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2025-08-22T05:38:07Z</dcterms:created>
  <dcterms:modified xsi:type="dcterms:W3CDTF">2025-08-22T05:38:07Z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