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垂直景观与季节性流动内天山七河地区青铜时代遗址的海拔结构与生业组织"/>
    <w:p>
      <w:pPr>
        <w:pStyle w:val="Heading1"/>
      </w:pPr>
      <w:r>
        <w:t xml:space="preserve">垂直景观与季节性流动：内天山—七河地区青铜时代遗址的海拔结构与生业组织</w:t>
      </w:r>
    </w:p>
    <w:p>
      <w:pPr>
        <w:pStyle w:val="BlockText"/>
      </w:pPr>
      <w:r>
        <w:t xml:space="preserve">景观考古学课程论文</w:t>
      </w:r>
      <w:r>
        <w:t xml:space="preserve"> </w:t>
      </w:r>
      <w:r>
        <w:t xml:space="preserve">（正文约 9000 字；插图依据</w:t>
      </w:r>
      <w:r>
        <w:t xml:space="preserve"> </w:t>
      </w:r>
      <w:r>
        <w:rPr>
          <w:rStyle w:val="VerbatimChar"/>
        </w:rPr>
        <w:t xml:space="preserve">data/sites_database.csv</w:t>
      </w:r>
      <w:r>
        <w:t xml:space="preserve"> </w:t>
      </w:r>
      <w:r>
        <w:t xml:space="preserve">在 Tableau 中制作，方案见</w:t>
      </w:r>
      <w:r>
        <w:t xml:space="preserve"> </w:t>
      </w:r>
      <w:r>
        <w:rPr>
          <w:rStyle w:val="VerbatimChar"/>
        </w:rPr>
        <w:t xml:space="preserve">docs/02_Tableau可视化方案.md</w:t>
      </w:r>
      <w:r>
        <w:t xml:space="preserve">，图号与本文对应）</w:t>
      </w:r>
    </w:p>
    <w:p>
      <w:pPr>
        <w:pStyle w:val="FirstParagraph"/>
      </w:pPr>
      <w:r>
        <w:rPr>
          <w:bCs/>
          <w:b/>
        </w:rPr>
        <w:t xml:space="preserve">摘要：</w:t>
      </w:r>
      <w:r>
        <w:t xml:space="preserve"> </w:t>
      </w:r>
      <w:r>
        <w:t xml:space="preserve">内天山—七河地区横跨海拔 500–3500 米的多级垂直生态带，是考察山地人群跨生态带资源利用的理想区域。本文以该区域 30 余处经发掘或系统调查的青铜时代遗址为对象，建立包含坐标、海拔、生态带、遗址类型、分期与生业证据的数据库，借助 Tableau 进行分布制图与海拔结构分析，从景观考古学的”任务景观”（taskscape）与垂直性（verticality）视角讨论遗址选址、功能分异与生业组织的关系。分析表明：（1）居址集中于约 900–2200 米的河谷—山麓带，且多近冬季避风、水源与耕地兼备的山间盆地边缘；岩画地点的海拔分布显著偏高并延伸至 3000 米以上的高山草场与山口，构成季节性垂直流动路径上的”标记景观”；（2）浮选与同位素证据显示，黍、小麦、大麦已进入海拔 2000 米以上遗址（Tasbas、Chap、阿敦乔鲁）的生业系统，山地生业并非纯牧业，而是依海拔节律组织的农牧结合经济；（3）遗址沿河谷与山口呈线性走廊分布，七河北麓与内天山盆地在海拔结构上的差异反映了两种不同尺度的垂直流动组织。本文据此提出，青铜时代内天山—七河人群以”压缩的垂直性”为核心逻辑，将分散于不同海拔的资源通过季节性流动整合为一个连续的任务景观；这一结构亦为理解作物与技术沿内亚山地廊道的传播提供了景观机制层面的解释。</w:t>
      </w:r>
    </w:p>
    <w:p>
      <w:pPr>
        <w:pStyle w:val="BodyText"/>
      </w:pPr>
      <w:r>
        <w:rPr>
          <w:bCs/>
          <w:b/>
        </w:rPr>
        <w:t xml:space="preserve">关键词：</w:t>
      </w:r>
      <w:r>
        <w:t xml:space="preserve"> </w:t>
      </w:r>
      <w:r>
        <w:t xml:space="preserve">景观考古学；垂直性；青铜时代；内天山；七河地区；生业模式；季节性流动</w:t>
      </w:r>
    </w:p>
    <w:p>
      <w:r>
        <w:pict>
          <v:rect style="width:0;height:1.5pt" o:hralign="center" o:hrstd="t" o:hr="t"/>
        </w:pict>
      </w:r>
    </w:p>
    <w:bookmarkStart w:id="22" w:name="一绪论"/>
    <w:p>
      <w:pPr>
        <w:pStyle w:val="Heading2"/>
      </w:pPr>
      <w:r>
        <w:t xml:space="preserve">一、绪论</w:t>
      </w:r>
    </w:p>
    <w:bookmarkStart w:id="20" w:name="一问题的提出"/>
    <w:p>
      <w:pPr>
        <w:pStyle w:val="Heading3"/>
      </w:pPr>
      <w:r>
        <w:t xml:space="preserve">（一）问题的提出</w:t>
      </w:r>
    </w:p>
    <w:p>
      <w:pPr>
        <w:pStyle w:val="FirstParagraph"/>
      </w:pPr>
      <w:r>
        <w:t xml:space="preserve">欧亚草原青铜时代研究长期以”游牧化”叙事为主线，将山地视为草原牧业经济的边缘延伸。然而近十五年来，七河地区（Zhetysu/Semirechye）的 Begash、Tasbas、Dali 与内天山的 Aigyrzhal-2、Chap、Uch-Kurbu 等遗址的系统发掘揭示出截然不同的图景：这些山地社群在公元前三千纪末至前一千纪初已将黍、小麦、大麦纳入生业系统，其流动性是嵌入山地垂直生态结构的、有节律的季节性移动，而非长距离游牧（Frachetti &amp; Mar’yashev (2007)[2]；Spengler et al. (2014)[7]；Motuzaite Matuzeviciute et al. (2020)[9]）。Frachetti (2008)[1]据此提出，山地牧人的社会互动与流动路径塑造了后来”内亚山地廊道”（IAMC）的雏形。</w:t>
      </w:r>
    </w:p>
    <w:p>
      <w:pPr>
        <w:pStyle w:val="BodyText"/>
      </w:pPr>
      <w:r>
        <w:t xml:space="preserve">既有研究多以单个遗址的生业重建为中心，区域尺度的讨论则集中于作物传播与年代框架；遗址在垂直生态梯度上”如何安置”——即海拔、生态带与遗址功能之间的结构性关系——尚缺乏系统的、可量化的景观考古学分析。本文试图回答的总问题是：</w:t>
      </w:r>
      <w:r>
        <w:rPr>
          <w:bCs/>
          <w:b/>
        </w:rPr>
        <w:t xml:space="preserve">内天山—七河地区青铜时代人群如何通过遗址选址与功能分异，把垂直生态梯度组织进其生业系统？</w:t>
      </w:r>
      <w:r>
        <w:t xml:space="preserve"> </w:t>
      </w:r>
      <w:r>
        <w:t xml:space="preserve">具体分解为三个子问题：</w:t>
      </w:r>
    </w:p>
    <w:p>
      <w:pPr>
        <w:numPr>
          <w:ilvl w:val="0"/>
          <w:numId w:val="1001"/>
        </w:numPr>
        <w:pStyle w:val="Compact"/>
      </w:pPr>
      <w:r>
        <w:rPr>
          <w:bCs/>
          <w:b/>
        </w:rPr>
        <w:t xml:space="preserve">海拔结构（Q1）</w:t>
      </w:r>
      <w:r>
        <w:t xml:space="preserve">：居址、墓葬、岩画三类遗存在海拔与生态带上是否存在系统性分异？</w:t>
      </w:r>
    </w:p>
    <w:p>
      <w:pPr>
        <w:numPr>
          <w:ilvl w:val="0"/>
          <w:numId w:val="1001"/>
        </w:numPr>
        <w:pStyle w:val="Compact"/>
      </w:pPr>
      <w:r>
        <w:rPr>
          <w:bCs/>
          <w:b/>
        </w:rPr>
        <w:t xml:space="preserve">生业—海拔关系（Q2）</w:t>
      </w:r>
      <w:r>
        <w:t xml:space="preserve">：作物与家畜证据是否随海拔变化？高海拔遗址的农业证据如何修正”高山=纯牧业”的假设？</w:t>
      </w:r>
    </w:p>
    <w:p>
      <w:pPr>
        <w:numPr>
          <w:ilvl w:val="0"/>
          <w:numId w:val="1001"/>
        </w:numPr>
        <w:pStyle w:val="Compact"/>
      </w:pPr>
      <w:r>
        <w:rPr>
          <w:bCs/>
          <w:b/>
        </w:rPr>
        <w:t xml:space="preserve">通道与连通性（Q3）</w:t>
      </w:r>
      <w:r>
        <w:t xml:space="preserve">：遗址是否沿河谷与山口形成线性走廊？内天山与七河两个小区的海拔结构差异说明何种区域组织差异？</w:t>
      </w:r>
    </w:p>
    <w:bookmarkEnd w:id="20"/>
    <w:bookmarkStart w:id="21" w:name="二理论视角从生态分带到任务景观"/>
    <w:p>
      <w:pPr>
        <w:pStyle w:val="Heading3"/>
      </w:pPr>
      <w:r>
        <w:t xml:space="preserve">（二）理论视角：从生态分带到任务景观</w:t>
      </w:r>
    </w:p>
    <w:p>
      <w:pPr>
        <w:pStyle w:val="FirstParagraph"/>
      </w:pPr>
      <w:r>
        <w:t xml:space="preserve">本文的分析框架由三个层次构成。第一层是</w:t>
      </w:r>
      <w:r>
        <w:rPr>
          <w:bCs/>
          <w:b/>
        </w:rPr>
        <w:t xml:space="preserve">垂直生态梯度</w:t>
      </w:r>
      <w:r>
        <w:t xml:space="preserve">这一环境结构。天山北麓与内天山自下而上依次为荒漠—半荒漠带（&lt;900 m）、河谷绿洲与山麓草原带（900–1800 m）、中山森林草甸带（1800–2400 m，北坡有雪岭云杉林）、高山草甸带（2400–3200 m）与冰雪带。各带的牧草物候、生长季长度与冬季可居性高度互补：低地冬季少雪可作冬牧场，高山草甸夏季水草丰美但冬季封闭。</w:t>
      </w:r>
    </w:p>
    <w:p>
      <w:pPr>
        <w:pStyle w:val="BodyText"/>
      </w:pPr>
      <w:r>
        <w:t xml:space="preserve">第二层是</w:t>
      </w:r>
      <w:r>
        <w:rPr>
          <w:bCs/>
          <w:b/>
        </w:rPr>
        <w:t xml:space="preserve">垂直性（verticality）</w:t>
      </w:r>
      <w:r>
        <w:t xml:space="preserve">这一中介概念。Murra (1972)[12]的安第斯”垂直群岛”模式与阿尔卑斯、喜马拉雅的垂直放牧（transhumance）研究表明，山地社会的核心组织问题是如何同时占有分散于不同海拔的互补资源。天山的特殊性在于其生态带在水平距离 20–50 公里内即完成全部垂直序列——一种”压缩的垂直性”，使单一社群通过短距离季节移动即可贯通数个生态带（Frachetti (2008)[1]）。</w:t>
      </w:r>
    </w:p>
    <w:p>
      <w:pPr>
        <w:pStyle w:val="BodyText"/>
      </w:pPr>
      <w:r>
        <w:t xml:space="preserve">第三层是 Ingold (1993)[11]的</w:t>
      </w:r>
      <w:r>
        <w:rPr>
          <w:bCs/>
          <w:b/>
        </w:rPr>
        <w:t xml:space="preserve">任务景观（taskscape）</w:t>
      </w:r>
      <w:r>
        <w:t xml:space="preserve">：景观不是活动的容器，而是由相互勾连的实践节律构成的时间性整体。在此视角下，居址、墓葬、岩画不是三类孤立的”点”，而是同一季节性节律在不同海拔上的物化：冬营地锚定社会再生产，墓地以纪念性宣示对越冬地与耕地的世代权利，高山岩画则标记夏牧场与通道上的反复到访。本文的 Tableau 分析正是要在区域尺度上检验这一”节律假说”的物质表达。</w:t>
      </w:r>
    </w:p>
    <w:bookmarkEnd w:id="21"/>
    <w:bookmarkEnd w:id="22"/>
    <w:bookmarkStart w:id="25" w:name="二研究区域与材料"/>
    <w:p>
      <w:pPr>
        <w:pStyle w:val="Heading2"/>
      </w:pPr>
      <w:r>
        <w:t xml:space="preserve">二、研究区域与材料</w:t>
      </w:r>
    </w:p>
    <w:bookmarkStart w:id="23" w:name="一研究区域"/>
    <w:p>
      <w:pPr>
        <w:pStyle w:val="Heading3"/>
      </w:pPr>
      <w:r>
        <w:t xml:space="preserve">（一）研究区域</w:t>
      </w:r>
    </w:p>
    <w:p>
      <w:pPr>
        <w:pStyle w:val="FirstParagraph"/>
      </w:pPr>
      <w:r>
        <w:t xml:space="preserve">研究区包括两个亚区。</w:t>
      </w:r>
      <w:r>
        <w:rPr>
          <w:bCs/>
          <w:b/>
        </w:rPr>
        <w:t xml:space="preserve">七河亚区</w:t>
      </w:r>
      <w:r>
        <w:t xml:space="preserve">指巴尔喀什湖以南、伊犁河至准噶尔阿拉套之间的山麓与山间地带（今哈萨克斯坦东南部），含准噶尔阿拉套西麓（Koksu 河谷的 Begash、Dali，Bayan-Zhurek 高地的 Tasbas）、伊犁阿拉套北坡（Turgen、Asy 高原、Talgar）及楚—伊犁山地（Tamgaly、Kulzhabasy 岩画群）。</w:t>
      </w:r>
      <w:r>
        <w:rPr>
          <w:bCs/>
          <w:b/>
        </w:rPr>
        <w:t xml:space="preserve">内天山亚区</w:t>
      </w:r>
      <w:r>
        <w:t xml:space="preserve">指吉尔吉斯斯坦境内的纳伦河流域、科奇科尔盆地、阿特巴什盆地及伊塞克湖盆地，海拔普遍在 1600–3200 米，含 Aigyrzhal-2、Chap、Uch-Kurbu 等遗址。两亚区之间经博姆峡谷、楚河谷地与多条山口相连；研究区东缘与新疆博尔塔拉河谷（阿敦乔鲁、呼斯塔）隔阿拉套山口相望，后者作为跨境对比材料纳入数据库但单独标注。</w:t>
      </w:r>
    </w:p>
    <w:p>
      <w:pPr>
        <w:pStyle w:val="BodyText"/>
      </w:pPr>
      <w:r>
        <w:t xml:space="preserve">时间范围取公元前 2500—前 900 年，覆盖当地早期青铜（Begash Ia 期）、安德罗诺沃文化圈诸类型（Alakul’、Fedorovo 及七河变体 Kul’say/Semirechye 类型）至晚青铜（Begash 2 期、Chap I 农庄）阶段。</w:t>
      </w:r>
    </w:p>
    <w:bookmarkEnd w:id="23"/>
    <w:bookmarkStart w:id="24" w:name="二遗址数据库"/>
    <w:p>
      <w:pPr>
        <w:pStyle w:val="Heading3"/>
      </w:pPr>
      <w:r>
        <w:t xml:space="preserve">（二）遗址数据库</w:t>
      </w:r>
    </w:p>
    <w:p>
      <w:pPr>
        <w:pStyle w:val="FirstParagraph"/>
      </w:pPr>
      <w:r>
        <w:t xml:space="preserve">本文系统搜集英、俄、中三语文献，建立包含 34 个遗址点的数据库（</w:t>
      </w:r>
      <w:r>
        <w:rPr>
          <w:rStyle w:val="VerbatimChar"/>
        </w:rPr>
        <w:t xml:space="preserve">data/sites_database.csv</w:t>
      </w:r>
      <w:r>
        <w:t xml:space="preserve">），收录标准为：经正式发掘，或经系统调查并有明确青铜时代归属的遗址。每个遗址记录 22 个字段，包括地理坐标（WGS84 十进制度）、坐标精度等级（精确/近似/谷地级）、海拔、生态带、亚区、遗址类型（居址/墓葬/岩画/复合）、分期、测年依据、作物与家畜证据（黍、小麦、大麦、羊、牛、马的有无）、关键参考文献等（字段定义见</w:t>
      </w:r>
      <w:r>
        <w:t xml:space="preserve"> </w:t>
      </w:r>
      <w:r>
        <w:rPr>
          <w:rStyle w:val="VerbatimChar"/>
        </w:rPr>
        <w:t xml:space="preserve">data/数据字典.md</w:t>
      </w:r>
      <w:r>
        <w:t xml:space="preserve">）。</w:t>
      </w:r>
    </w:p>
    <w:p>
      <w:pPr>
        <w:pStyle w:val="BodyText"/>
      </w:pPr>
      <w:r>
        <w:t xml:space="preserve">数据来源分三类：（1）英文发掘报告与专题研究提供坐标、测年与浮选数据最精确的核心子集（Begash、Tasbas、Dali、Aigyrzhal-2、Chap、Uch-Kurbu 等）；（2）俄语报告与综述（Goryachev (2004)[13]、(2020)[21]；Mar’yashev &amp; Goryachev (2002)[14]；Tabaldiev (2011)[16]；Rogozhinskiy (2011)[15]）提供天山北麓居址群与岩画群资料，部分坐标依描述与地图复原，标为”近似”；（3）中文简报（《考古》2013 年第 7 期等）提供博尔塔拉对比材料。</w:t>
      </w:r>
    </w:p>
    <w:p>
      <w:pPr>
        <w:pStyle w:val="BodyText"/>
      </w:pPr>
      <w:r>
        <w:t xml:space="preserve">必须说明数据的两点局限。其一，</w:t>
      </w:r>
      <w:r>
        <w:rPr>
          <w:bCs/>
          <w:b/>
        </w:rPr>
        <w:t xml:space="preserve">调查偏差</w:t>
      </w:r>
      <w:r>
        <w:t xml:space="preserve">：河谷与公路沿线调查强度远高于高山带，已知遗址的海拔分布是”研究史的景观”与”古代景观”的叠加，故本文结论限定于已知遗址结构，并在讨论中评估偏差方向——值得注意的是，高山带调查不足会低估而非高估高海拔遗存，因此”岩画偏高海拔”的结论是保守的。其二，</w:t>
      </w:r>
      <w:r>
        <w:rPr>
          <w:bCs/>
          <w:b/>
        </w:rPr>
        <w:t xml:space="preserve">岩画断代</w:t>
      </w:r>
      <w:r>
        <w:t xml:space="preserve">：岩画点的青铜时代归属依据风格（双峰驼、车辆、</w:t>
      </w:r>
      <w:r>
        <w:t xml:space="preserve">“</w:t>
      </w:r>
      <w:r>
        <w:t xml:space="preserve">太阳头</w:t>
      </w:r>
      <w:r>
        <w:t xml:space="preserve">”</w:t>
      </w:r>
      <w:r>
        <w:t xml:space="preserve">人像等典型青铜母题），仅收录学界公认含显著青铜时代图层的地点。</w:t>
      </w:r>
    </w:p>
    <w:bookmarkEnd w:id="24"/>
    <w:bookmarkEnd w:id="25"/>
    <w:bookmarkStart w:id="30" w:name="三分析海拔结构与空间组织"/>
    <w:p>
      <w:pPr>
        <w:pStyle w:val="Heading2"/>
      </w:pPr>
      <w:r>
        <w:t xml:space="preserve">三、分析：海拔结构与空间组织</w:t>
      </w:r>
    </w:p>
    <w:bookmarkStart w:id="26" w:name="一遗址分布的总体格局图-1"/>
    <w:p>
      <w:pPr>
        <w:pStyle w:val="Heading3"/>
      </w:pPr>
      <w:r>
        <w:t xml:space="preserve">（一）遗址分布的总体格局（图 1）</w:t>
      </w:r>
    </w:p>
    <w:p>
      <w:pPr>
        <w:pStyle w:val="FirstParagraph"/>
      </w:pPr>
      <w:r>
        <w:t xml:space="preserve">图 1（Tableau 符号地图：遗址类型分形状、生态带分色、坐标精度分透明度，地形底图）显示三个直观模式。第一，遗址并非均匀散布于山体，而是</w:t>
      </w:r>
      <w:r>
        <w:rPr>
          <w:bCs/>
          <w:b/>
        </w:rPr>
        <w:t xml:space="preserve">强烈聚集于山体边缘</w:t>
      </w:r>
      <w:r>
        <w:t xml:space="preserve">——山麓与山间盆地的交界带，即生态带界面（ecotone）：Begash、Dali 位于 Koksu 河谷切入准噶尔阿拉套的谷口地带；Turgen、Talgar 诸遗址排列于伊犁阿拉套北坡山前；内天山遗址则环绕科奇科尔、纳伦盆地边缘。界面选址使社群能以最小移动成本同时触及两个以上生态带，是”压缩垂直性”的直接空间表达。</w:t>
      </w:r>
    </w:p>
    <w:p>
      <w:pPr>
        <w:pStyle w:val="BodyText"/>
      </w:pPr>
      <w:r>
        <w:t xml:space="preserve">第二，</w:t>
      </w:r>
      <w:r>
        <w:rPr>
          <w:bCs/>
          <w:b/>
        </w:rPr>
        <w:t xml:space="preserve">线性走廊</w:t>
      </w:r>
      <w:r>
        <w:t xml:space="preserve">清晰可辨（Q3）：七河亚区遗址沿伊犁阿拉套北麓东西向串联，并经楚—伊犁山地的 Tamgaly、Kulzhabasy 岩画群向西北延伸；内天山遗址沿纳伦河谷与科奇科尔—伊塞克湖一线分布。两条走廊在楚河谷地交汇，与 Frachetti et al. (2017)[5]以放牧流模拟生成的高地路径高度吻合，说明青铜时代的遗址链已勾勒出后世山地廊道的骨架。</w:t>
      </w:r>
    </w:p>
    <w:p>
      <w:pPr>
        <w:pStyle w:val="BodyText"/>
      </w:pPr>
      <w:r>
        <w:t xml:space="preserve">第三，</w:t>
      </w:r>
      <w:r>
        <w:rPr>
          <w:bCs/>
          <w:b/>
        </w:rPr>
        <w:t xml:space="preserve">两亚区基准海拔差异</w:t>
      </w:r>
      <w:r>
        <w:t xml:space="preserve">：七河居址多在 900–1700 米，内天山居址则整体抬升至 2000 米以上——这不是生业差异，而是地形基面差异，提示比较两区时应使用”相对生态带位置”而非绝对海拔。</w:t>
      </w:r>
    </w:p>
    <w:bookmarkEnd w:id="26"/>
    <w:bookmarkStart w:id="27" w:name="二遗址类型的海拔分异图-2"/>
    <w:p>
      <w:pPr>
        <w:pStyle w:val="Heading3"/>
      </w:pPr>
      <w:r>
        <w:t xml:space="preserve">（二）遗址类型的海拔分异（图 2）</w:t>
      </w:r>
    </w:p>
    <w:p>
      <w:pPr>
        <w:pStyle w:val="FirstParagraph"/>
      </w:pPr>
      <w:r>
        <w:t xml:space="preserve">图 2（海拔—遗址类型箱线/抖动散点图，分亚区着色）检验 Q1。结果呈现清晰的阶梯结构：</w:t>
      </w:r>
    </w:p>
    <w:p>
      <w:pPr>
        <w:numPr>
          <w:ilvl w:val="0"/>
          <w:numId w:val="1002"/>
        </w:numPr>
        <w:pStyle w:val="Compact"/>
      </w:pPr>
      <w:r>
        <w:rPr>
          <w:bCs/>
          <w:b/>
        </w:rPr>
        <w:t xml:space="preserve">居址</w:t>
      </w:r>
      <w:r>
        <w:t xml:space="preserve">的海拔中位数约 1500 米（七河）与 2050 米（内天山），分布紧凑，集中于河谷—山麓带至中山带下缘。已发掘居址普遍具备三个区位要素：避风谷地或山体南坡（冬季可居）、常年水源、附近有可耕的细土坡地或冲积扇。Begash（约 950 m）位于 Koksu 河支谷内的避风台地，发掘者明确判断其为反复使用的冬—春营地（Frachetti &amp; Mar’yashev (2007)[2]）；Chap（约 2000 m）坐落于科奇科尔盆地边缘的灌溉适宜地段（Motuzaite Matuzeviciute et al. (2020)[9]）。</w:t>
      </w:r>
    </w:p>
    <w:p>
      <w:pPr>
        <w:numPr>
          <w:ilvl w:val="0"/>
          <w:numId w:val="1002"/>
        </w:numPr>
        <w:pStyle w:val="Compact"/>
      </w:pPr>
      <w:r>
        <w:rPr>
          <w:bCs/>
          <w:b/>
        </w:rPr>
        <w:t xml:space="preserve">墓葬</w:t>
      </w:r>
      <w:r>
        <w:t xml:space="preserve">的海拔分布与居址高度重叠且略偏谷底开阔地带。安德罗诺沃石围墓地（如 Tasbas 墓地、内天山诸石棺墓群）多置于谷地醒目位置、可视性良好。从任务景观视角看，墓地与冬营地的空间伴生表明纪念性建构指向社群最具排他性价值的资源——越冬地与耕地——的世代权利宣示。</w:t>
      </w:r>
    </w:p>
    <w:p>
      <w:pPr>
        <w:numPr>
          <w:ilvl w:val="0"/>
          <w:numId w:val="1002"/>
        </w:numPr>
        <w:pStyle w:val="Compact"/>
      </w:pPr>
      <w:r>
        <w:rPr>
          <w:bCs/>
          <w:b/>
        </w:rPr>
        <w:t xml:space="preserve">岩画</w:t>
      </w:r>
      <w:r>
        <w:t xml:space="preserve">的海拔分布显著偏高且离散：从山前的 Tamgaly（约 980 m）直至 3000–3200 米的 Saimaluu-Tash 高山圣地，中位海拔远高于居址。高海拔岩画点几乎无一例外位于夏牧场或翻越山口的通道上，且 Saimaluu-Tash 每年仅 6—8 月可达——其使用本身即被季节性节律所规定。</w:t>
      </w:r>
    </w:p>
    <w:p>
      <w:pPr>
        <w:pStyle w:val="FirstParagraph"/>
      </w:pPr>
      <w:r>
        <w:t xml:space="preserve">这一阶梯结构正是”节律假说”的物质表达：社群的年度周期在垂直方向上展开，不同海拔承担不同的任务束（越冬与耕作—埋葬与纪念—夏季放牧与仪式聚会），三类遗存共同构成一个按季节折叠的任务景观，而非三张独立的分布图。</w:t>
      </w:r>
    </w:p>
    <w:bookmarkEnd w:id="27"/>
    <w:bookmarkStart w:id="28" w:name="三生业证据的海拔梯度图-3"/>
    <w:p>
      <w:pPr>
        <w:pStyle w:val="Heading3"/>
      </w:pPr>
      <w:r>
        <w:t xml:space="preserve">（三）生业证据的海拔梯度（图 3）</w:t>
      </w:r>
    </w:p>
    <w:p>
      <w:pPr>
        <w:pStyle w:val="FirstParagraph"/>
      </w:pPr>
      <w:r>
        <w:t xml:space="preserve">图 3（生业证据—海拔高亮矩阵，仅含有浮选/动物考古数据的 12 处遗址，按海拔降序排列）回答 Q2。模式有三：</w:t>
      </w:r>
    </w:p>
    <w:p>
      <w:pPr>
        <w:pStyle w:val="BodyText"/>
      </w:pPr>
      <w:r>
        <w:t xml:space="preserve">第一，</w:t>
      </w:r>
      <w:r>
        <w:rPr>
          <w:bCs/>
          <w:b/>
        </w:rPr>
        <w:t xml:space="preserve">作物种植的海拔上限远高于传统预期</w:t>
      </w:r>
      <w:r>
        <w:t xml:space="preserve">。黍（</w:t>
      </w:r>
      <w:r>
        <w:rPr>
          <w:iCs/>
          <w:i/>
        </w:rPr>
        <w:t xml:space="preserve">Panicum miliaceum</w:t>
      </w:r>
      <w:r>
        <w:t xml:space="preserve">）与裸大麦出现于海拔约 2000 米的 Chap I（公元前 11—前 9 世纪的农庄，含大量炭化谷物与加工工具）；Tasbas（约 1500 m）的早期堆积中黍、小麦、大麦与栽培豌豆共出；阿敦乔鲁（约 2500 m）亦有麦类证据。结合 Begash 仪式语境中直接测年至公元前三千纪末的黍与小麦（Frachetti et al. (2010)[3]），可知作物自进入本区起即被山地社群吸收，并在晚青铜阶段于高海拔实现本地种植（Motuzaite Matuzeviciute et al. (2020)[9]）。</w:t>
      </w:r>
      <w:r>
        <w:t xml:space="preserve">“</w:t>
      </w:r>
      <w:r>
        <w:t xml:space="preserve">高山=纯牧业</w:t>
      </w:r>
      <w:r>
        <w:t xml:space="preserve">”</w:t>
      </w:r>
      <w:r>
        <w:t xml:space="preserve">的假设不成立。</w:t>
      </w:r>
    </w:p>
    <w:p>
      <w:pPr>
        <w:pStyle w:val="BodyText"/>
      </w:pPr>
      <w:r>
        <w:t xml:space="preserve">第二，</w:t>
      </w:r>
      <w:r>
        <w:rPr>
          <w:bCs/>
          <w:b/>
        </w:rPr>
        <w:t xml:space="preserve">畜群构成的海拔调节</w:t>
      </w:r>
      <w:r>
        <w:t xml:space="preserve">。各遗址动物群均以绵羊/山羊为主、牛次之、马在晚段比例上升，但高海拔遗址羊的优势更显著，牛更依赖谷地环境，与垂直放牧中”羊上高山、牛守河谷”的民族志模式一致。</w:t>
      </w:r>
    </w:p>
    <w:p>
      <w:pPr>
        <w:pStyle w:val="BodyText"/>
      </w:pPr>
      <w:r>
        <w:t xml:space="preserve">第三，</w:t>
      </w:r>
      <w:r>
        <w:rPr>
          <w:bCs/>
          <w:b/>
        </w:rPr>
        <w:t xml:space="preserve">农牧并非两套人群而是同一节律的两个侧面</w:t>
      </w:r>
      <w:r>
        <w:t xml:space="preserve">。Chap 的谷物同位素显示施肥/厩肥迹象，Begash、Tasbas 的黍出现于墓葬与灶的仪式语境——作物同时是食物、肥料循环的一环与仪式物质，农业被”编织”进牧业节律，而非与之竞争。这支持把本区生业概括为</w:t>
      </w:r>
      <w:r>
        <w:rPr>
          <w:bCs/>
          <w:b/>
        </w:rPr>
        <w:t xml:space="preserve">海拔节律化的农牧结合经济</w:t>
      </w:r>
      <w:r>
        <w:t xml:space="preserve">（agro-pastoralism organized by altitudinal rhythm）。</w:t>
      </w:r>
    </w:p>
    <w:bookmarkEnd w:id="28"/>
    <w:bookmarkStart w:id="29" w:name="四走廊山口与跨境比较"/>
    <w:p>
      <w:pPr>
        <w:pStyle w:val="Heading3"/>
      </w:pPr>
      <w:r>
        <w:t xml:space="preserve">（四）走廊、山口与跨境比较</w:t>
      </w:r>
    </w:p>
    <w:p>
      <w:pPr>
        <w:pStyle w:val="FirstParagraph"/>
      </w:pPr>
      <w:r>
        <w:t xml:space="preserve">将博尔塔拉亚区纳入比较可进一步检验走廊机制。阿敦乔鲁与呼斯塔位于海拔 2400–2600 米的高位盆地，石构居址规模与建筑投入远超同期七河居址，且其器物组合与七河、内天山联系密切（丛德新等 (2013)[17]；贾伟明 (2018)[18]）。阿拉套山口两侧遗址的呼应关系说明：高海拔不仅是季节性牧场，在特定区位（控制山口的盆地）还能支撑高投入的永久性聚落——垂直性与连通性在此叠加，使某些高地节点获得了超出其农牧承载力的区位价值。这为理解 IAMC 上技术与物质（锡青铜、作物、彩陶因素）的跨天山流动提供了景观机制：流动并非发生在抽象的”廊道”上，而是发生在由季节性垂直移动反复踩踏出的、以山口节点遗址为锚的具体路径网络中。</w:t>
      </w:r>
    </w:p>
    <w:bookmarkEnd w:id="29"/>
    <w:bookmarkEnd w:id="30"/>
    <w:bookmarkStart w:id="34" w:name="四讨论"/>
    <w:p>
      <w:pPr>
        <w:pStyle w:val="Heading2"/>
      </w:pPr>
      <w:r>
        <w:t xml:space="preserve">四、讨论</w:t>
      </w:r>
    </w:p>
    <w:bookmarkStart w:id="31" w:name="一压缩的垂直性一个区域性的景观逻辑"/>
    <w:p>
      <w:pPr>
        <w:pStyle w:val="Heading3"/>
      </w:pPr>
      <w:r>
        <w:t xml:space="preserve">（一）压缩的垂直性：一个区域性的景观逻辑</w:t>
      </w:r>
    </w:p>
    <w:p>
      <w:pPr>
        <w:pStyle w:val="FirstParagraph"/>
      </w:pPr>
      <w:r>
        <w:t xml:space="preserve">综合三组分析，本区青铜时代景观组织可概括为”压缩的垂直性”逻辑：（1）选址优先占据生态带界面，以最短移动半径覆盖最大生态互补性；（2）功能沿海拔分层——海拔越高，遗存的季节性与仪式性越强，永久性与生计基础性越弱（博尔塔拉的山口型聚落是规律性的例外而非反例）；（3）农业不挑战这一垂直节律，而是被安置于节律中冬营地一端的可灌溉地段，强化而非削弱了对特定低位地点的世代依附——这或许正是墓地与冬营地伴生、纪念性投资增长的经济根源。</w:t>
      </w:r>
    </w:p>
    <w:p>
      <w:pPr>
        <w:pStyle w:val="BodyText"/>
      </w:pPr>
      <w:r>
        <w:t xml:space="preserve">与安第斯模式相比，天山的垂直整合不需要殖民式的”群岛”飞地，单一社群的季节移动即可完成；与阿尔卑斯历史时期垂直放牧相比，本区在青铜时代尚无证据显示低地农业聚落与高地牧业的分工交换，农与牧统一于同一社群的年度节律。这一中间形态正是 Frachetti (2012)[4]</w:t>
      </w:r>
      <w:r>
        <w:t xml:space="preserve">“</w:t>
      </w:r>
      <w:r>
        <w:t xml:space="preserve">非一致性制度</w:t>
      </w:r>
      <w:r>
        <w:t xml:space="preserve">”</w:t>
      </w:r>
      <w:r>
        <w:t xml:space="preserve">论的景观注脚：山地社群无需中心化制度，依靠对垂直节律的共享默契即可维持区域尺度的协作与交流。</w:t>
      </w:r>
    </w:p>
    <w:bookmarkEnd w:id="31"/>
    <w:bookmarkStart w:id="32" w:name="二方法反思与局限"/>
    <w:p>
      <w:pPr>
        <w:pStyle w:val="Heading3"/>
      </w:pPr>
      <w:r>
        <w:t xml:space="preserve">（二）方法反思与局限</w:t>
      </w:r>
    </w:p>
    <w:p>
      <w:pPr>
        <w:pStyle w:val="FirstParagraph"/>
      </w:pPr>
      <w:r>
        <w:t xml:space="preserve">第一，本文的海拔结构分析以已知遗址为准，调查偏差虽不改变”岩画偏高”的保守结论，但居址海拔上限很可能被低估——内天山 2000 米以上居址（Chap）直到近年才被发掘即是警示。第二，岩画的风格断代精度有限，部分点位的青铜归属仍可争议；本文以”含青铜图层”为收录标准，未来应结合微侵蚀与叠压关系细化。第三，Tableau 的分析止于分布与统计描述，可视域、成本路径等地形敏感分析需转入 GIS；本文图 1 所示走廊有待最小成本路径模型的正式检验。第四，季节性的直接证据（如牙釉质氧同位素的季节序列、植物硅酸体的季节指示）目前仅个别遗址具备，</w:t>
      </w:r>
      <w:r>
        <w:t xml:space="preserve">“</w:t>
      </w:r>
      <w:r>
        <w:t xml:space="preserve">节律假说</w:t>
      </w:r>
      <w:r>
        <w:t xml:space="preserve">”</w:t>
      </w:r>
      <w:r>
        <w:t xml:space="preserve">在多数遗址上仍是结构推断而非直接观测。</w:t>
      </w:r>
    </w:p>
    <w:bookmarkEnd w:id="32"/>
    <w:bookmarkStart w:id="33" w:name="三后续研究方向"/>
    <w:p>
      <w:pPr>
        <w:pStyle w:val="Heading3"/>
      </w:pPr>
      <w:r>
        <w:t xml:space="preserve">（三）后续研究方向</w:t>
      </w:r>
    </w:p>
    <w:p>
      <w:pPr>
        <w:pStyle w:val="FirstParagraph"/>
      </w:pPr>
      <w:r>
        <w:t xml:space="preserve">本研究可向三个方向发展为学位论文或期刊论文：（1）以牙釉质锶/氧同位素检验居址—夏牧场之间的实际移动幅度；（2）以 GIS 成本路径与牧草物候模型正式重建季节移动网络，与遗址链比对；（3）将博尔塔拉—七河—内天山作为三个垂直组织变体做系统比较，讨论垂直性逻辑在不同地形基面上的变形。三者均可直接复用本文数据库。</w:t>
      </w:r>
    </w:p>
    <w:bookmarkEnd w:id="33"/>
    <w:bookmarkEnd w:id="34"/>
    <w:bookmarkStart w:id="35" w:name="五结论"/>
    <w:p>
      <w:pPr>
        <w:pStyle w:val="Heading2"/>
      </w:pPr>
      <w:r>
        <w:t xml:space="preserve">五、结论</w:t>
      </w:r>
    </w:p>
    <w:p>
      <w:pPr>
        <w:pStyle w:val="FirstParagraph"/>
      </w:pPr>
      <w:r>
        <w:t xml:space="preserve">本文建立了内天山—七河地区青铜时代遗址数据库，并以 Tableau 完成区域分布制图与海拔结构分析，主要结论如下：</w:t>
      </w:r>
    </w:p>
    <w:p>
      <w:pPr>
        <w:numPr>
          <w:ilvl w:val="0"/>
          <w:numId w:val="1003"/>
        </w:numPr>
        <w:pStyle w:val="Compact"/>
      </w:pPr>
      <w:r>
        <w:t xml:space="preserve">遗址选址呈现强烈的生态带界面取向与沿河谷—山口的走廊性分布；居址、墓葬集中于中低海拔的越冬—耕作带，岩画显著偏向高海拔季节性牧场与通道，三类遗存构成一个按季节折叠的垂直任务景观。</w:t>
      </w:r>
    </w:p>
    <w:p>
      <w:pPr>
        <w:numPr>
          <w:ilvl w:val="0"/>
          <w:numId w:val="1003"/>
        </w:numPr>
        <w:pStyle w:val="Compact"/>
      </w:pPr>
      <w:r>
        <w:t xml:space="preserve">浮选与同位素证据表明黍、麦类作物在青铜时代已进入海拔 2000 米以上的生业系统，本区经济应理解为海拔节律化的农牧结合经济，而非纯牧业。</w:t>
      </w:r>
    </w:p>
    <w:p>
      <w:pPr>
        <w:numPr>
          <w:ilvl w:val="0"/>
          <w:numId w:val="1003"/>
        </w:numPr>
        <w:pStyle w:val="Compact"/>
      </w:pPr>
      <w:r>
        <w:t xml:space="preserve">内天山、七河与博尔塔拉三个亚区共享”压缩的垂直性”组织逻辑，但地形基面与山口区位造成具体形态差异；由季节性垂直移动维系的路径网络为作物与技术沿内亚山地廊道的传播提供了景观机制层面的解释。</w:t>
      </w:r>
    </w:p>
    <w:p>
      <w:pPr>
        <w:pStyle w:val="FirstParagraph"/>
      </w:pPr>
      <w:r>
        <w:t xml:space="preserve">景观考古学的价值在于把”遗址点”还原为”实践的节律”。在内天山—七河，垂直梯度不是人群活动的背景板，而是被季节性流动反复编织的组织轴线；理解了这条轴线，山地青铜时代的生业、纪念性与跨区域交流便获得了一个统一的解释框架。</w:t>
      </w:r>
    </w:p>
    <w:p>
      <w:r>
        <w:pict>
          <v:rect style="width:0;height:1.5pt" o:hralign="center" o:hrstd="t" o:hr="t"/>
        </w:pict>
      </w:r>
    </w:p>
    <w:bookmarkEnd w:id="35"/>
    <w:bookmarkStart w:id="36" w:name="参考文献正文引用完整分级清单见-docs03_参考文献清单.md"/>
    <w:p>
      <w:pPr>
        <w:pStyle w:val="Heading2"/>
      </w:pPr>
      <w:r>
        <w:t xml:space="preserve">参考文献（正文引用，完整分级清单见</w:t>
      </w:r>
      <w:r>
        <w:t xml:space="preserve"> </w:t>
      </w:r>
      <w:r>
        <w:rPr>
          <w:rStyle w:val="VerbatimChar"/>
        </w:rPr>
        <w:t xml:space="preserve">docs/03_参考文献清单.md</w:t>
      </w:r>
      <w:r>
        <w:t xml:space="preserve">）</w:t>
      </w:r>
    </w:p>
    <w:p>
      <w:pPr>
        <w:numPr>
          <w:ilvl w:val="0"/>
          <w:numId w:val="1004"/>
        </w:numPr>
        <w:pStyle w:val="Compact"/>
      </w:pPr>
      <w:r>
        <w:t xml:space="preserve">Frachetti, M.D. 2008.</w:t>
      </w:r>
      <w:r>
        <w:t xml:space="preserve"> </w:t>
      </w:r>
      <w:r>
        <w:rPr>
          <w:iCs/>
          <w:i/>
        </w:rPr>
        <w:t xml:space="preserve">Pastoralist Landscapes and Social Interaction in Bronze Age Eurasia</w:t>
      </w:r>
      <w:r>
        <w:t xml:space="preserve">. Berkeley: University of California Press.</w:t>
      </w:r>
    </w:p>
    <w:p>
      <w:pPr>
        <w:numPr>
          <w:ilvl w:val="0"/>
          <w:numId w:val="1004"/>
        </w:numPr>
        <w:pStyle w:val="Compact"/>
      </w:pPr>
      <w:r>
        <w:t xml:space="preserve">Frachetti, M.D. &amp; Mar’yashev, A.N. 2007. Long-term occupation and seasonal settlement of eastern Eurasian pastoralists at Begash, Kazakhstan.</w:t>
      </w:r>
      <w:r>
        <w:t xml:space="preserve"> </w:t>
      </w:r>
      <w:r>
        <w:rPr>
          <w:iCs/>
          <w:i/>
        </w:rPr>
        <w:t xml:space="preserve">Journal of Field Archaeology</w:t>
      </w:r>
      <w:r>
        <w:t xml:space="preserve"> </w:t>
      </w:r>
      <w:r>
        <w:t xml:space="preserve">32(3): 221–242.</w:t>
      </w:r>
    </w:p>
    <w:p>
      <w:pPr>
        <w:numPr>
          <w:ilvl w:val="0"/>
          <w:numId w:val="1004"/>
        </w:numPr>
        <w:pStyle w:val="Compact"/>
      </w:pPr>
      <w:r>
        <w:t xml:space="preserve">Frachetti, M.D., Spengler, R.N., Fritz, G.J. &amp; Mar’yashev, A.N. 2010. Earliest direct evidence for broomcorn millet and wheat in the central Eurasian steppe region.</w:t>
      </w:r>
      <w:r>
        <w:t xml:space="preserve"> </w:t>
      </w:r>
      <w:r>
        <w:rPr>
          <w:iCs/>
          <w:i/>
        </w:rPr>
        <w:t xml:space="preserve">Antiquity</w:t>
      </w:r>
      <w:r>
        <w:t xml:space="preserve"> </w:t>
      </w:r>
      <w:r>
        <w:t xml:space="preserve">84(326): 993–1010.</w:t>
      </w:r>
    </w:p>
    <w:p>
      <w:pPr>
        <w:numPr>
          <w:ilvl w:val="0"/>
          <w:numId w:val="1004"/>
        </w:numPr>
        <w:pStyle w:val="Compact"/>
      </w:pPr>
      <w:r>
        <w:t xml:space="preserve">Frachetti, M.D. 2012. Multiregional emergence of mobile pastoralism and nonuniform institutional complexity across Eurasia.</w:t>
      </w:r>
      <w:r>
        <w:t xml:space="preserve"> </w:t>
      </w:r>
      <w:r>
        <w:rPr>
          <w:iCs/>
          <w:i/>
        </w:rPr>
        <w:t xml:space="preserve">Current Anthropology</w:t>
      </w:r>
      <w:r>
        <w:t xml:space="preserve"> </w:t>
      </w:r>
      <w:r>
        <w:t xml:space="preserve">53(1): 2–38.</w:t>
      </w:r>
    </w:p>
    <w:p>
      <w:pPr>
        <w:numPr>
          <w:ilvl w:val="0"/>
          <w:numId w:val="1004"/>
        </w:numPr>
        <w:pStyle w:val="Compact"/>
      </w:pPr>
      <w:r>
        <w:t xml:space="preserve">Frachetti, M.D., Smith, C.E., Traub, C.M. &amp; Williams, T. 2017. Nomadic ecology shaped the highland geography of Asia’s Silk Roads.</w:t>
      </w:r>
      <w:r>
        <w:t xml:space="preserve"> </w:t>
      </w:r>
      <w:r>
        <w:rPr>
          <w:iCs/>
          <w:i/>
        </w:rPr>
        <w:t xml:space="preserve">Nature</w:t>
      </w:r>
      <w:r>
        <w:t xml:space="preserve"> </w:t>
      </w:r>
      <w:r>
        <w:t xml:space="preserve">543: 193–198.</w:t>
      </w:r>
    </w:p>
    <w:p>
      <w:pPr>
        <w:numPr>
          <w:ilvl w:val="0"/>
          <w:numId w:val="1004"/>
        </w:numPr>
        <w:pStyle w:val="Compact"/>
      </w:pPr>
      <w:r>
        <w:t xml:space="preserve">Doumani, P.N., Frachetti, M.D., Beardmore, R., Schmaus, T., Spengler, R.N. &amp; Mar’yashev, A.N. 2015. Burial ritual, agriculture, and craft production among Bronze Age pastoralists at Tasbas (Kazakhstan).</w:t>
      </w:r>
      <w:r>
        <w:t xml:space="preserve"> </w:t>
      </w:r>
      <w:r>
        <w:rPr>
          <w:iCs/>
          <w:i/>
        </w:rPr>
        <w:t xml:space="preserve">Archaeological Research in Asia</w:t>
      </w:r>
      <w:r>
        <w:t xml:space="preserve"> </w:t>
      </w:r>
      <w:r>
        <w:t xml:space="preserve">1–2: 17–32.</w:t>
      </w:r>
    </w:p>
    <w:p>
      <w:pPr>
        <w:numPr>
          <w:ilvl w:val="0"/>
          <w:numId w:val="1004"/>
        </w:numPr>
        <w:pStyle w:val="Compact"/>
      </w:pPr>
      <w:r>
        <w:t xml:space="preserve">Spengler, R.N., Frachetti, M.D., Doumani, P.N., et al. 2014. Early agriculture and crop transmission among Bronze Age mobile pastoralists of Central Eurasia.</w:t>
      </w:r>
      <w:r>
        <w:t xml:space="preserve"> </w:t>
      </w:r>
      <w:r>
        <w:rPr>
          <w:iCs/>
          <w:i/>
        </w:rPr>
        <w:t xml:space="preserve">Proceedings of the Royal Society B</w:t>
      </w:r>
      <w:r>
        <w:t xml:space="preserve"> </w:t>
      </w:r>
      <w:r>
        <w:t xml:space="preserve">281: 20133382.</w:t>
      </w:r>
    </w:p>
    <w:p>
      <w:pPr>
        <w:numPr>
          <w:ilvl w:val="0"/>
          <w:numId w:val="1004"/>
        </w:numPr>
        <w:pStyle w:val="Compact"/>
      </w:pPr>
      <w:r>
        <w:t xml:space="preserve">Motuzaite Matuzeviciute, G., Preece, R.C., Wang, S., et al. 2017. Ecology and subsistence at the Mesolithic and Bronze Age site of Aigyrzhal-2, Naryn valley, Kyrgyzstan.</w:t>
      </w:r>
      <w:r>
        <w:t xml:space="preserve"> </w:t>
      </w:r>
      <w:r>
        <w:rPr>
          <w:iCs/>
          <w:i/>
        </w:rPr>
        <w:t xml:space="preserve">Quaternary International</w:t>
      </w:r>
      <w:r>
        <w:t xml:space="preserve"> </w:t>
      </w:r>
      <w:r>
        <w:t xml:space="preserve">437: 35–49.</w:t>
      </w:r>
    </w:p>
    <w:p>
      <w:pPr>
        <w:numPr>
          <w:ilvl w:val="0"/>
          <w:numId w:val="1004"/>
        </w:numPr>
        <w:pStyle w:val="Compact"/>
      </w:pPr>
      <w:r>
        <w:t xml:space="preserve">Motuzaite Matuzeviciute, G., Mir-Makhamad, B., Spate, M., et al. 2020. High-altitude agro-pastoralism in the Kyrgyz Tien Shan: new excavations of the Chap farmstead (1065–825 cal BC).</w:t>
      </w:r>
      <w:r>
        <w:t xml:space="preserve"> </w:t>
      </w:r>
      <w:r>
        <w:rPr>
          <w:iCs/>
          <w:i/>
        </w:rPr>
        <w:t xml:space="preserve">Journal of Field Archaeology</w:t>
      </w:r>
      <w:r>
        <w:t xml:space="preserve"> </w:t>
      </w:r>
      <w:r>
        <w:t xml:space="preserve">45(1): 29–45.</w:t>
      </w:r>
    </w:p>
    <w:p>
      <w:pPr>
        <w:numPr>
          <w:ilvl w:val="0"/>
          <w:numId w:val="1004"/>
        </w:numPr>
        <w:pStyle w:val="Compact"/>
      </w:pPr>
      <w:r>
        <w:t xml:space="preserve">Hermes, T.R., Frachetti, M.D., Doumani Dupuy, P.N., et al. 2019. Early integration of pastoralism and millet cultivation in Bronze Age Eurasia.</w:t>
      </w:r>
      <w:r>
        <w:t xml:space="preserve"> </w:t>
      </w:r>
      <w:r>
        <w:rPr>
          <w:iCs/>
          <w:i/>
        </w:rPr>
        <w:t xml:space="preserve">Proceedings of the Royal Society B</w:t>
      </w:r>
      <w:r>
        <w:t xml:space="preserve"> </w:t>
      </w:r>
      <w:r>
        <w:t xml:space="preserve">286: 20191273.</w:t>
      </w:r>
    </w:p>
    <w:p>
      <w:pPr>
        <w:numPr>
          <w:ilvl w:val="0"/>
          <w:numId w:val="1004"/>
        </w:numPr>
        <w:pStyle w:val="Compact"/>
      </w:pPr>
      <w:r>
        <w:t xml:space="preserve">Ingold, T. 1993. The temporality of the landscape.</w:t>
      </w:r>
      <w:r>
        <w:t xml:space="preserve"> </w:t>
      </w:r>
      <w:r>
        <w:rPr>
          <w:iCs/>
          <w:i/>
        </w:rPr>
        <w:t xml:space="preserve">World Archaeology</w:t>
      </w:r>
      <w:r>
        <w:t xml:space="preserve"> </w:t>
      </w:r>
      <w:r>
        <w:t xml:space="preserve">25(2): 152–174.</w:t>
      </w:r>
    </w:p>
    <w:p>
      <w:pPr>
        <w:numPr>
          <w:ilvl w:val="0"/>
          <w:numId w:val="1004"/>
        </w:numPr>
        <w:pStyle w:val="Compact"/>
      </w:pPr>
      <w:r>
        <w:t xml:space="preserve">Murra, J.V. 1972. El</w:t>
      </w:r>
      <w:r>
        <w:t xml:space="preserve"> </w:t>
      </w:r>
      <w:r>
        <w:t xml:space="preserve">“</w:t>
      </w:r>
      <w:r>
        <w:t xml:space="preserve">control vertical</w:t>
      </w:r>
      <w:r>
        <w:t xml:space="preserve">”</w:t>
      </w:r>
      <w:r>
        <w:t xml:space="preserve"> </w:t>
      </w:r>
      <w:r>
        <w:t xml:space="preserve">de un máximo de pisos ecológicos en la economía de las sociedades andinas. Huánuco: Universidad Nacional Hermilio Valdizán.</w:t>
      </w:r>
    </w:p>
    <w:p>
      <w:pPr>
        <w:numPr>
          <w:ilvl w:val="0"/>
          <w:numId w:val="1004"/>
        </w:numPr>
        <w:pStyle w:val="Compact"/>
      </w:pPr>
      <w:r>
        <w:t xml:space="preserve">Горячев, А.А. 2004. О хронологии и периодизации памятников эпохи бронзы Семиречья // История и археология Семиречья. Вып. 4. Алматы.</w:t>
      </w:r>
    </w:p>
    <w:p>
      <w:pPr>
        <w:numPr>
          <w:ilvl w:val="0"/>
          <w:numId w:val="1004"/>
        </w:numPr>
        <w:pStyle w:val="Compact"/>
      </w:pPr>
      <w:r>
        <w:t xml:space="preserve">Марьяшев, А.Н., Горячев, А.А. 2002. Наскальные изображения Семиречья. 2-е изд. Алматы.</w:t>
      </w:r>
    </w:p>
    <w:p>
      <w:pPr>
        <w:numPr>
          <w:ilvl w:val="0"/>
          <w:numId w:val="1004"/>
        </w:numPr>
        <w:pStyle w:val="Compact"/>
      </w:pPr>
      <w:r>
        <w:t xml:space="preserve">Рогожинский, А.Е. 2011. Петроглифы археологического ландшафта Тамгалы. Алматы.</w:t>
      </w:r>
    </w:p>
    <w:p>
      <w:pPr>
        <w:numPr>
          <w:ilvl w:val="0"/>
          <w:numId w:val="1004"/>
        </w:numPr>
        <w:pStyle w:val="Compact"/>
      </w:pPr>
      <w:r>
        <w:t xml:space="preserve">Табалдиев, К.Ш. 2011. Древние памятники Тянь-Шаня. Бишкек: Университет Центральной Азии.</w:t>
      </w:r>
    </w:p>
    <w:p>
      <w:pPr>
        <w:numPr>
          <w:ilvl w:val="0"/>
          <w:numId w:val="1004"/>
        </w:numPr>
        <w:pStyle w:val="Compact"/>
      </w:pPr>
      <w:r>
        <w:t xml:space="preserve">丛德新、贾笑冰等：《新疆温泉县阿敦乔鲁遗址与墓地》，《考古》2013 年第 7 期。</w:t>
      </w:r>
    </w:p>
    <w:p>
      <w:pPr>
        <w:numPr>
          <w:ilvl w:val="0"/>
          <w:numId w:val="1004"/>
        </w:numPr>
        <w:pStyle w:val="Compact"/>
      </w:pPr>
      <w:r>
        <w:t xml:space="preserve">贾伟明：《史前游牧业的考古学探索——新疆博尔塔拉河流域的聚落考古》，《西域研究》2018 年第 3 期。</w:t>
      </w:r>
    </w:p>
    <w:p>
      <w:pPr>
        <w:numPr>
          <w:ilvl w:val="0"/>
          <w:numId w:val="1004"/>
        </w:numPr>
        <w:pStyle w:val="Compact"/>
      </w:pPr>
      <w:r>
        <w:t xml:space="preserve">Chang, C. 2018.</w:t>
      </w:r>
      <w:r>
        <w:t xml:space="preserve"> </w:t>
      </w:r>
      <w:r>
        <w:rPr>
          <w:iCs/>
          <w:i/>
        </w:rPr>
        <w:t xml:space="preserve">Rethinking Prehistoric Central Asia: Shepherds, Farmers, and Nomads</w:t>
      </w:r>
      <w:r>
        <w:t xml:space="preserve">. London: Routledge.</w:t>
      </w:r>
    </w:p>
    <w:p>
      <w:pPr>
        <w:numPr>
          <w:ilvl w:val="0"/>
          <w:numId w:val="1004"/>
        </w:numPr>
        <w:pStyle w:val="Compact"/>
      </w:pPr>
      <w:r>
        <w:t xml:space="preserve">陈胜前：《景观考古学——理论、方法与实践》，《南方文物》2012 年第 2 期。</w:t>
      </w:r>
    </w:p>
    <w:p>
      <w:pPr>
        <w:numPr>
          <w:ilvl w:val="0"/>
          <w:numId w:val="1004"/>
        </w:numPr>
        <w:pStyle w:val="Compact"/>
      </w:pPr>
      <w:r>
        <w:t xml:space="preserve">Горячев, А.А. 2020. Археологический комплекс Тургень-II. Алматы: ИА КН МОН РК.</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2026-06-10T11:24:30Z</dcterms:created>
  <dcterms:modified xsi:type="dcterms:W3CDTF">2026-06-10T11:24:30Z</dcterms:modified>
</cp:coreProperties>
</file>

<file path=docProps/custom.xml><?xml version="1.0" encoding="utf-8"?>
<Properties xmlns="http://schemas.openxmlformats.org/officeDocument/2006/custom-properties" xmlns:vt="http://schemas.openxmlformats.org/officeDocument/2006/docPropsVTypes"/>
</file>