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跨生态带资源组织与山地生业体系：内天山—七河地区青铜时代遗址的景观考古学观察</w:t>
      </w:r>
    </w:p>
    <w:p>
      <w:pPr>
        <w:pStyle w:val="IntenseQuote"/>
      </w:pPr>
      <w:r>
        <w:t>景观考古学课程论文</w:t>
      </w:r>
    </w:p>
    <w:p>
      <w:pPr>
        <w:pStyle w:val="IntenseQuote"/>
      </w:pPr>
      <w:r>
        <w:t>插图依据 data/sites_database.csv 在 Tableau 中制作，方案见 docs/02_Tableau可视化方案.md。</w:t>
      </w:r>
    </w:p>
    <w:p>
      <w:r>
        <w:t>摘要： 内天山—七河地区的青铜时代遗址研究已经显示，Begash、Tasbas、Aigyrzhal-2、Chap 等遗址中存在作物、家畜、居住、墓葬和仪式活动等多类证据，山地人群并非单纯游牧者。本文不再以“是否农牧结合”为中心，而是进一步追问：在河谷、山麓、中山草场、高山草甸与山口等不同生态空间之间，农业、畜牧、季节性移动和仪式活动如何被组织起来？本文以 35 处经发掘或系统调查的青铜时代遗址为基础，结合 Tableau 制作遗址分布图、生态带—功能矩阵和关键遗址资源组合图，讨论不同生态带在山地生业体系中的可能功能。分析认为，河谷—山麓地带多承担居住、水源利用、越冬和部分耕作功能；Tasbas、Chap、Turgen/Asy 等高地地点显示中山和高位盆地并非单一牧场，而可能是农牧、加工、墓葬或季节性居住复合节点；高山草场、山口和岩画地点则提示夏季放牧、通行和仪式活动之间存在联系。内天山—七河地区青铜时代生业组织的关键，不在于简单判定“农”与“牧”是否并存，而在于不同生态带资源如何被连接和调度。景观考古学的作用，也应建立在遗址材料与空间关系之上，用以解释这种跨生态带资源组织，而不是先行套用理论概念。</w:t>
      </w:r>
    </w:p>
    <w:p>
      <w:r>
        <w:t>关键词： 景观考古学；跨生态带资源组织；青铜时代；内天山；七河地区；山地生业；Tableau</w:t>
      </w:r>
    </w:p>
    <w:p>
      <w:r>
        <w:t>————————————————————</w:t>
      </w:r>
    </w:p>
    <w:p>
      <w:pPr>
        <w:pStyle w:val="Heading2"/>
      </w:pPr>
      <w:r>
        <w:t>一、绪论：从“农牧结合”到“资源组织”</w:t>
      </w:r>
    </w:p>
    <w:p>
      <w:r>
        <w:t>过去关于欧亚草原青铜时代生业的讨论，常在“游牧”“半游牧”或“农牧结合”等类型之间展开。近二十年来，七河地区的 Begash、Tasbas、Dali，内天山的 Aigyrzhal-2、Chap、Uch-Kurbu 等遗址经系统发掘后，已经提供了较清楚的植物考古、动物考古、测年和遗址功能证据。黍、小麦、大麦等作物，以及羊、牛、马等家畜，在若干山地遗址中共同出现。由此可见，青铜时代内天山—七河地区人群并不能被简单理解为单一游牧群体（Frachetti &amp; Mar'yashev (2007)[2]；Doumani et al. (2015)[6]；Motuzaite Matuzeviciute et al. (2017)[8]；Motuzaite Matuzeviciute et al. (2020)[9]）。</w:t>
      </w:r>
    </w:p>
    <w:p>
      <w:r>
        <w:t>因此，本文不再把主要问题设定为“这些人群是否为农牧结合经济”。这一判断在核心遗址研究中已经有较充分基础。更值得继续追问的是：农业、畜牧、季节性移动以及不同生态带资源究竟如何被组织起来？ 换言之，河谷、山麓、中山草场、高山草甸、山口与通道并不是被动的自然背景，而可能分别承担居住、越冬、耕作、放牧、通行、埋葬和仪式活动等不同功能。</w:t>
      </w:r>
    </w:p>
    <w:p>
      <w:r>
        <w:t>本文的总问题是：青铜时代内天山—七河地区山地人群如何依托河谷、山麓与高山草场之间的生态差异，组织农业、畜牧与季节性移动？ 具体包括三个方面：</w:t>
      </w:r>
    </w:p>
    <w:p>
      <w:r>
        <w:t>1. 不同生态带在生业体系中分别承担什么功能？</w:t>
      </w:r>
    </w:p>
    <w:p>
      <w:r>
        <w:t>2. Begash、Tasbas、Aigyrzhal-2、Chap 等关键遗址如何体现不同资源组合？</w:t>
      </w:r>
    </w:p>
    <w:p>
      <w:r>
        <w:t>3. 遗址分布是否反映了河谷、山麓、高山草场与山口之间的资源互补和路径连接？</w:t>
      </w:r>
    </w:p>
    <w:p>
      <w:r>
        <w:t>本文借鉴景观考古学对空间、活动场所和实践关系的关注，但不在开头设置庞大的理论框架。对于本文而言，景观考古学首先是一种从遗址位置、生态带功能和资源组合出发理解人地关系的方法。taskscape、verticality 等概念可在讨论部分作为解释工具使用，而不宜先于材料成为论文主轴。</w:t>
      </w:r>
    </w:p>
    <w:p>
      <w:pPr>
        <w:pStyle w:val="Heading2"/>
      </w:pPr>
      <w:r>
        <w:t>二、研究区域、材料与方法</w:t>
      </w:r>
    </w:p>
    <w:p>
      <w:pPr>
        <w:pStyle w:val="Heading3"/>
      </w:pPr>
      <w:r>
        <w:t>（一）区域与生态带</w:t>
      </w:r>
    </w:p>
    <w:p>
      <w:r>
        <w:t>本文讨论的主体区域为七河—内天山山地地带。七河地区包括巴尔喀什湖以南、伊犁河至准噶尔阿拉套之间的山前和山间地带，核心材料有 Koksu 河谷一带的 Begash、Dali，Bayan-Zhurek 高地的 Tasbas，以及 Turgen、Asy、Tamgaly、Kulzhabasy 等遗址和岩画地点。内天山地区主要包括纳伦河流域、科奇科尔盆地、伊塞克湖周边和相关山间通道，核心材料有 Aigyrzhal-2、Chap、Uch-Kurbu、Juuku valley、Saimaluu-Tash 等。</w:t>
      </w:r>
    </w:p>
    <w:p>
      <w:r>
        <w:t>这一地区的生态带差异明显。低位河谷和山麓地带通常具备水源、避风条件、冲积扇或坡地土壤，适合较稳定的居住、冬春活动和一定规模的作物利用。中山草场和山间盆地兼具牧草、水源和可通行条件，可能承担农牧复合和季节转换功能。高山草甸与山口地带冬季封闭性强，但夏季牧草资源丰富，并与跨山通道、岩画和仪式性地点关系密切。正是这种近距离的生态差异，为跨生态带资源利用提供了基础。</w:t>
      </w:r>
    </w:p>
    <w:p>
      <w:pPr>
        <w:pStyle w:val="Heading3"/>
      </w:pPr>
      <w:r>
        <w:t>（二）材料来源与数据库</w:t>
      </w:r>
    </w:p>
    <w:p>
      <w:r>
        <w:t>本文使用 data/sites_database.csv 所收录的 35 处遗址资料。数据库字段包括坐标、海拔、生态带、亚区、遗址类型、分期、测年依据、作物与家畜证据、关键参考文献和备注。材料来源主要包括三类：</w:t>
      </w:r>
    </w:p>
    <w:p>
      <w:r>
        <w:t>1. 英文发掘报告和专题研究，提供 Begash、Tasbas、Dali、Aigyrzhal-2、Chap、Uch-Kurbu 等遗址的测年、植物考古和动物考古资料。</w:t>
      </w:r>
    </w:p>
    <w:p>
      <w:r>
        <w:t>2. 俄语报告与综述，提供 Turgen、Asy、Tamgaly、Kulzhabasy、Saimaluu-Tash 等居址、墓葬和岩画材料。</w:t>
      </w:r>
    </w:p>
    <w:p>
      <w:r>
        <w:t>3. 中文简报和研究，提供阿敦乔鲁、呼斯塔等博尔塔拉材料，作为跨天山比较而非主体区域材料。</w:t>
      </w:r>
    </w:p>
    <w:p>
      <w:r>
        <w:t>需要说明的是，本文并不掌握一手科技考古数据，主要依据已发表文献进行汇编和空间观察。部分遗址坐标为近似或谷地级定位，岩画地点的青铜时代属性多依风格判断，断代精度有限。因此，本文结论主要使用“提示”“可能”“反映出某种趋势”等谨慎表述。</w:t>
      </w:r>
    </w:p>
    <w:p>
      <w:pPr>
        <w:pStyle w:val="Heading3"/>
      </w:pPr>
      <w:r>
        <w:t>（三）Tableau 分析的定位</w:t>
      </w:r>
    </w:p>
    <w:p>
      <w:r>
        <w:t>Tableau 在本文中用于整理和呈现遗址空间关系，而不是替代 GIS 或原始发掘分析。本文主要使用三类图：</w:t>
      </w:r>
    </w:p>
    <w:p>
      <w:r>
        <w:t>1. 遗址与生态带分布图，观察遗址是否集中于河谷、山麓、高山草场和山口等资源节点。</w:t>
      </w:r>
    </w:p>
    <w:p>
      <w:r>
        <w:t>2. 生态带—遗址功能矩阵，观察居址、墓葬、岩画及复合遗址在不同生态带中的分布。</w:t>
      </w:r>
    </w:p>
    <w:p>
      <w:r>
        <w:t>3. 关键遗址资源组合图，展示 Begash、Tasbas、Dali、Aigyrzhal-2、Chap、Uch-Kurbu 等遗址中的作物、家畜、墓葬、岩画和生态位置组合。</w:t>
      </w:r>
    </w:p>
    <w:p>
      <w:r>
        <w:t>这三类图的目的，是把“海拔分布”转化为“生态带功能与资源组织”的观察。</w:t>
      </w:r>
    </w:p>
    <w:p>
      <w:pPr>
        <w:pStyle w:val="Heading2"/>
      </w:pPr>
      <w:r>
        <w:t>三、河谷—山麓节点：居住、越冬与作物利用</w:t>
      </w:r>
    </w:p>
    <w:p>
      <w:r>
        <w:t>河谷与山麓是理解本区生业组织的基础。它们通常靠近常年水源，地形相对开阔，具备避风和冬春可居条件，部分地点还有冲积扇、缓坡或河谷台地，可支持小规模作物利用。Begash、Dali、Aigyrzhal-2、Uch-Kurbu 等遗址可作为这一类资源节点的代表。</w:t>
      </w:r>
    </w:p>
    <w:p>
      <w:pPr>
        <w:pStyle w:val="Heading3"/>
      </w:pPr>
      <w:r>
        <w:t>（一）Begash：山麓河谷中的长期使用节点</w:t>
      </w:r>
    </w:p>
    <w:p>
      <w:r>
        <w:t>Begash 位于准噶尔阿拉套西麓 Koksu 河谷附近，海拔约 950 米，是七河地区最重要的青铜时代遗址之一。发掘者认为该遗址具有长期反复使用特征，并与冬—春季活动关系密切（Frachetti &amp; Mar'yashev (2007)[2]）。其重要性不仅在于发现了黍和小麦等早期作物证据，更在于其所处位置能够连接河谷、山麓草场和通往高地的路径。</w:t>
      </w:r>
    </w:p>
    <w:p>
      <w:r>
        <w:t>Begash 的作物遗存多出现在特殊或仪式性语境中，因此不宜简单推断为大规模本地农业。但这些材料至少说明，作物已经被纳入山地社群的物质生活和象征活动之中（Frachetti et al. (2010)[3]）。从资源组织角度看，Begash 不是“农业遗址”或“牧业遗址”的简单分类对象，而是河谷—山麓系统中的一个稳定节点：它可能承担越冬、居住、仪式、畜群管理和外来作物接收等多重功能。</w:t>
      </w:r>
    </w:p>
    <w:p>
      <w:pPr>
        <w:pStyle w:val="Heading3"/>
      </w:pPr>
      <w:r>
        <w:t>（二）Dali 与 Koksu 河谷系统</w:t>
      </w:r>
    </w:p>
    <w:p>
      <w:r>
        <w:t>Dali 位于准噶尔阿拉套中山台地，海拔高于 Begash，与 Koksu 河谷系统共同构成一个从山麓向高地延伸的活动范围。该遗址同样具有长期占用和家畜利用证据，相关同位素研究提示山地畜群与作物资源之间存在联系（Hermes et al. (2019)[10]）。如果把 Begash 与 Dali 联系起来看，就能看到低位河谷与较高山地台地之间并非互不相关，而可能是同一生业体系中的不同节点。</w:t>
      </w:r>
    </w:p>
    <w:p>
      <w:pPr>
        <w:pStyle w:val="Heading3"/>
      </w:pPr>
      <w:r>
        <w:t>（三）Aigyrzhal-2：内天山河谷中的长期利用</w:t>
      </w:r>
    </w:p>
    <w:p>
      <w:r>
        <w:t>Aigyrzhal-2 位于吉尔吉斯斯坦纳伦河谷，海拔约 2050 米。与七河山前地带相比，内天山整体基准海拔更高，因此不能仅以绝对海拔判断其功能。Aigyrzhal-2 的意义在于显示高海拔河谷中也存在长期利用和农牧结合证据（Motuzaite Matuzeviciute et al. (2017)[8]）。</w:t>
      </w:r>
    </w:p>
    <w:p>
      <w:r>
        <w:t>从资源组织角度看，Aigyrzhal-2 所在的纳伦河谷并不是边缘高地，而是内天山内部重要的河谷走廊。这里有水源、可通行谷地和周边草场，适合承担居住、畜群管理和部分作物利用功能。它提示我们，内天山的“高海拔”应理解为当地生态系统内部的河谷节点，而不是简单等同于高山牧场。</w:t>
      </w:r>
    </w:p>
    <w:p>
      <w:pPr>
        <w:pStyle w:val="Heading3"/>
      </w:pPr>
      <w:r>
        <w:t>（四）Uch-Kurbu 与伊塞克湖—内天山联系</w:t>
      </w:r>
    </w:p>
    <w:p>
      <w:r>
        <w:t>Uch-Kurbu 位于伊塞克湖南岸山麓地带，数据库中记录有黍作证据和家畜材料。其位置接近湖盆、山麓和通往内天山的路线，因而有助于理解低位盆地、河谷和山地之间的连接。该遗址虽不如 Begash、Tasbas、Chap 资料丰富，但在区域布局上能够补足内天山外围与内部之间的联系。</w:t>
      </w:r>
    </w:p>
    <w:p>
      <w:r>
        <w:t>综合来看，河谷—山麓节点的共同特点是：它们并不只是低海拔居住点，而是水源、避风、耕作可能性、畜群管理和路径连接的复合地点。这一层面构成跨生态带资源组织的稳定基础。</w:t>
      </w:r>
    </w:p>
    <w:p>
      <w:pPr>
        <w:pStyle w:val="Heading2"/>
      </w:pPr>
      <w:r>
        <w:t>四、高地农牧复合节点：中山草场与高位盆地</w:t>
      </w:r>
    </w:p>
    <w:p>
      <w:r>
        <w:t>如果说河谷—山麓节点提供了较稳定的居住和越冬基础，那么中山草场、高位盆地和山间台地则显示出更复杂的功能。Tasbas、Chap、Turgen/Asy 等材料说明，高地地点不应被简单理解为短期夏牧场。它们可能同时包含居住、作物利用、畜牧、加工、墓葬和仪式活动。</w:t>
      </w:r>
    </w:p>
    <w:p>
      <w:pPr>
        <w:pStyle w:val="Heading3"/>
      </w:pPr>
      <w:r>
        <w:t>（一）Tasbas：高地中的复合活动场所</w:t>
      </w:r>
    </w:p>
    <w:p>
      <w:r>
        <w:t>Tasbas 位于 Bayan-Zhurek 高地，海拔约 1490 米，是讨论七河高地资源组织的关键遗址。该遗址出土黍、小麦、大麦、豌豆等植物遗存，同时有墓葬、火葬、手工业和家畜证据（Doumani et al. (2015)[6]；Spengler et al. (2014)[7]）。这些材料说明 Tasbas 并非单一功能地点。</w:t>
      </w:r>
    </w:p>
    <w:p>
      <w:r>
        <w:t>若仅把 Tasbas 作为“高海拔也有作物”的例子，反而会削弱其意义。更重要的是，该遗址显示高地节点可以把多种活动结合在一起：畜牧活动与植物利用并存，墓葬和仪式性活动与日常生产相互交织。Tasbas 所在高地可能连接低位河谷、周边草场和更高山地路径，是七河地区跨生态带资源组织中的关键中介节点。</w:t>
      </w:r>
    </w:p>
    <w:p>
      <w:pPr>
        <w:pStyle w:val="Heading3"/>
      </w:pPr>
      <w:r>
        <w:t>（二）Chap I/II：高海拔河谷中的农牧经营</w:t>
      </w:r>
    </w:p>
    <w:p>
      <w:r>
        <w:t>Chap 位于吉尔吉斯斯坦科奇科尔盆地边缘，海拔约 2000 米。Chap I 的年代约为公元前 11—前 9 世纪，被研究者称为高海拔农庄，出土大量炭化谷物、加工工具，并有施肥或厩肥相关迹象（Motuzaite Matuzeviciute et al. (2020)[9]）。Chap II 还提示该地点可能存在更早的作物利用。</w:t>
      </w:r>
    </w:p>
    <w:p>
      <w:r>
        <w:t>Chap 的意义不只是“高海拔出现农业”。它更重要地说明，在内天山内部，高海拔河谷和盆地边缘可以成为较稳定的农牧经营节点。这里既有适合放牧的山地草场，也有可利用的河谷水源和局部耕作条件。Chap 因此提供了理解内天山生业组织的关键例证：农业不是附属于低地的外来因素，而可能被安置在高山盆地的具体生态条件中，与畜牧、厩肥循环和居住活动相互配合。</w:t>
      </w:r>
    </w:p>
    <w:p>
      <w:pPr>
        <w:pStyle w:val="Heading3"/>
      </w:pPr>
      <w:r>
        <w:t>（三）Turgen、Asy 与天山北麓高地</w:t>
      </w:r>
    </w:p>
    <w:p>
      <w:r>
        <w:t>Turgen-2、Kyzylbulak IV、Asy-Saga 以及 Asy 高原岩画等材料显示，伊犁阿拉套北坡存在一系列中山和高山草场地点（Goryachev (2004)[13]；Goryachev (2020)[21]）。这些地点的资料精度不如 Begash、Tasbas、Chap，但从区域分布看，它们位于山前平原通向高山草场的通道上。</w:t>
      </w:r>
    </w:p>
    <w:p>
      <w:r>
        <w:t>这些材料的作用，是提醒我们不能只关注少数有植物浮选数据的遗址。跨生态带资源组织并不仅由作物证据构成，还包括季节性居住、牧场利用、墓葬设置和通行路线。Turgen/Asy 一线可视为七河北麓从山前到高山草场转换的空间带。</w:t>
      </w:r>
    </w:p>
    <w:p>
      <w:pPr>
        <w:pStyle w:val="Heading2"/>
      </w:pPr>
      <w:r>
        <w:t>五、高山草场、山口与仪式性地点</w:t>
      </w:r>
    </w:p>
    <w:p>
      <w:r>
        <w:t>高山草甸、山口和岩画地点是本文讨论中最需要谨慎处理的一类材料。它们与季节性放牧、通行和仪式活动有密切关系，但青铜时代断代往往依赖风格判断，不能作为直接生业证据使用。尽管如此，这类材料仍能为理解山地景观组织提供重要线索。</w:t>
      </w:r>
    </w:p>
    <w:p>
      <w:r>
        <w:t>Tamgaly 位于楚—伊犁山地，是著名岩画与仪式景观地点，含“太阳头”人像等青铜时代母题（Rogozhinskiy (2011)[15]）。Kulzhabasy、Eshkiolmes、Bayan-Zhurek 岩画群等也分布于山地通道、河谷和高地草场附近。它们提示七河地区的岩画并非孤立图像，而与通行路线、牧场到访和仪式性活动空间有关。</w:t>
      </w:r>
    </w:p>
    <w:p>
      <w:r>
        <w:t>内天山的 Saimaluu-Tash 海拔约 3100 米，是典型高山岩画圣地，每年可达时间有限，具有明显季节性特征（Tabaldiev (2011)[16]）。Juuku valley、Naryn valley petroglyphs、Cholpon-Ata、Ornok 等岩画地点则分布于伊塞克湖周边、河谷和通往内天山的山地路径上。它们可能反映山地人群在季节性移动、牧场利用和仪式活动中的重复到访。</w:t>
      </w:r>
    </w:p>
    <w:p>
      <w:r>
        <w:t>从资源组织角度看，高山岩画的意义不在于提供作物或家畜证据，而在于显示山地生业体系并不只包括经济活动。通行、纪念、仪式和社会聚合也可能被嵌入季节性移动之中。也就是说，高山草场和山口既是资源空间，也是社会活动和象征活动发生的场所。</w:t>
      </w:r>
    </w:p>
    <w:p>
      <w:pPr>
        <w:pStyle w:val="Heading2"/>
      </w:pPr>
      <w:r>
        <w:t>六、Tableau 空间观察：生态带—功能—资源组合</w:t>
      </w:r>
    </w:p>
    <w:p>
      <w:r>
        <w:t>根据 Tableau 图 1，遗址并非均匀散布在整个山地，而是集中于河谷、山麓、盆地边缘、高地草场和山口附近。Begash、Dali、Tasbas 所在的准噶尔阿拉套西麓—Koksu 河谷系统，Aigyrzhal-2、Chap 所在的纳伦河谷—科奇科尔盆地系统，以及 Turgen/Asy、Tamgaly/Kulzhabasy、Saimaluu-Tash 等高地和岩画地点，共同构成了若干可观察的资源节点。</w:t>
      </w:r>
    </w:p>
    <w:p>
      <w:r>
        <w:t>图 2 的生态带—功能矩阵比单纯的“海拔—遗址类型箱线图”更适合本文问题。居址和居址+墓葬多集中于河谷、山麓和中山带，显示这些地点更适合稳定居住、畜群管理和部分耕作。岩画地点则从山前一直延伸至高山草场，但高海拔岩画与季节性通道、夏季牧场之间的关系更为突出。墓葬常与居址或河谷开阔地相伴，可能反映对关键居住和资源空间的纪念性占用。</w:t>
      </w:r>
    </w:p>
    <w:p>
      <w:r>
        <w:t>图 3 的关键遗址资源组合图显示，核心遗址之间的差异比“都有农牧结合证据”更重要。Begash 更接近河谷—山麓长期使用节点；Tasbas 呈现高地复合活动特征；Aigyrzhal-2 体现内天山河谷的长期利用；Chap 则显示高海拔盆地边缘可以形成较稳定的农牧经营节点。不同遗址承担的资源功能并不相同，正是这些差异构成了跨生态带资源组织。</w:t>
      </w:r>
    </w:p>
    <w:p>
      <w:r>
        <w:t>需要强调，Tableau 图表只能提供空间观察，不能单独证明季节性移动路线。若要进一步验证，还需要 GIS 成本路径分析、古环境数据、动物牙釉质同位素、植物遗存定量和更精确的遗址功能研究。本文的重点，是在课程论文层面把遗址材料从“海拔分布”推进到“生态带功能与资源组合”的分析。</w:t>
      </w:r>
    </w:p>
    <w:p>
      <w:pPr>
        <w:pStyle w:val="Heading2"/>
      </w:pPr>
      <w:r>
        <w:t>七、讨论：景观结构如何组织生业资源</w:t>
      </w:r>
    </w:p>
    <w:p>
      <w:pPr>
        <w:pStyle w:val="Heading3"/>
      </w:pPr>
      <w:r>
        <w:t>（一）生态带功能分工</w:t>
      </w:r>
    </w:p>
    <w:p>
      <w:r>
        <w:t>综合上述材料，可以初步认为，内天山—七河地区的不同生态带可能承担不同功能。河谷和山麓提供水源、避风条件、可耕地和较稳定居住空间，是生业体系的低位基础。中山草场、高位盆地和山间台地承担农牧复合、季节转换和路径连接功能。高山草场和山口则与夏季放牧、通行和仪式性活动关系更密切。</w:t>
      </w:r>
    </w:p>
    <w:p>
      <w:r>
        <w:t>这种分工不是严格固定的。例如 Chap 显示高海拔河谷也可能存在较稳定的农牧经营，Tasbas 也提示高地地点可以包含墓葬、仪式和作物利用。因此，本文所说的“生态带功能”不是把每个生态带机械对应某一种活动，而是强调不同生态空间在资源组合上的倾向。</w:t>
      </w:r>
    </w:p>
    <w:p>
      <w:pPr>
        <w:pStyle w:val="Heading3"/>
      </w:pPr>
      <w:r>
        <w:t>（二）从农牧并存到资源调度</w:t>
      </w:r>
    </w:p>
    <w:p>
      <w:r>
        <w:t>Begash、Tasbas、Aigyrzhal-2、Chap 等遗址都可以说明农作与畜牧并存，但本文更关注它们如何被调度。作物可能出现在仪式、食物、交换或本地种植等不同语境中；家畜则可能随季节在河谷、山麓和高地草场之间移动。农业和牧业并非两个并列部门，而是被放置在不同生态节点和活动节律中。</w:t>
      </w:r>
    </w:p>
    <w:p>
      <w:r>
        <w:t>这种认识可以避免两个极端：一是把青铜时代山地人群简单归为“游牧者”；二是因为发现作物便过度强调农业。更合适的理解是：山地人群根据水源、草场、耕地、季节和通道条件，把不同资源安排在一个可移动、可转换的生业体系中。</w:t>
      </w:r>
    </w:p>
    <w:p>
      <w:pPr>
        <w:pStyle w:val="Heading3"/>
      </w:pPr>
      <w:r>
        <w:t>（三）景观考古学解释应从材料中生长出来</w:t>
      </w:r>
    </w:p>
    <w:p>
      <w:r>
        <w:t>在这个基础上，taskscape 或 verticality 等概念才具有解释意义。所谓“任务景观”，并不是先验理论标签，而可以理解为居住、耕作、放牧、埋葬、通行和仪式活动在不同地点上的反复组织。所谓“垂直性”，也不应只等同于海拔高低，而应指河谷、山麓、高山草场之间资源差异及其被利用的方式。</w:t>
      </w:r>
    </w:p>
    <w:p>
      <w:r>
        <w:t>因此，本文更倾向于将内天山—七河地区青铜时代景观理解为一种跨生态带资源组织体系：人群通过季节性移动和节点性居住，将分散在不同生态带中的资源联系起来。这一体系的重点不是“海拔结构”本身，而是海拔背后的水源、牧场、耕地、通道和仪式地点如何被整合。</w:t>
      </w:r>
    </w:p>
    <w:p>
      <w:pPr>
        <w:pStyle w:val="Heading3"/>
      </w:pPr>
      <w:r>
        <w:t>（四）博尔塔拉材料的比较意义</w:t>
      </w:r>
    </w:p>
    <w:p>
      <w:r>
        <w:t>阿敦乔鲁、呼斯塔等博尔塔拉材料不宜与七河和内天山主体材料完全并列，因为其区域背景、资料来源和研究史不同。但它们可作为比较材料。阿敦乔鲁位于高位盆地，具有石构居址和墓地，可能控制阿拉套山口附近的交通位置（丛德新等 (2013)[17]；贾伟明 (2018)[18]）。这提示在某些山口或高位盆地，高海拔地点并不只是夏牧场，也可能成为聚落、交通和交流的复合节点。</w:t>
      </w:r>
    </w:p>
    <w:p>
      <w:r>
        <w:t>这一比较进一步说明，跨生态带资源组织具有区域差异。七河、内天山和博尔塔拉共享山地垂直生态结构，但具体资源节点、聚落形态和通道意义并不完全相同。</w:t>
      </w:r>
    </w:p>
    <w:p>
      <w:pPr>
        <w:pStyle w:val="Heading2"/>
      </w:pPr>
      <w:r>
        <w:t>八、结论</w:t>
      </w:r>
    </w:p>
    <w:p>
      <w:r>
        <w:t>本文对内天山—七河地区青铜时代遗址进行重新组织后认为，论文核心不应停留在“是否农牧结合”。Begash、Tasbas、Aigyrzhal-2、Chap 等遗址已经表明，作物与家畜共同进入山地人群的生业和社会活动之中。更值得讨论的问题是，不同资源如何在山地景观中被安排。</w:t>
      </w:r>
    </w:p>
    <w:p>
      <w:r>
        <w:t>本文的主要认识如下：</w:t>
      </w:r>
    </w:p>
    <w:p>
      <w:r>
        <w:t>1. 河谷、山麓、中山草场、高山草甸和山口并非同质背景，而可能分别承担居住、越冬、耕作、放牧、通行和仪式活动等不同功能。</w:t>
      </w:r>
    </w:p>
    <w:p>
      <w:r>
        <w:t>2. Begash、Tasbas、Aigyrzhal-2、Chap 等关键遗址显示，不同生态位置上的资源组合存在差异，不能仅用“农牧结合”概括。</w:t>
      </w:r>
    </w:p>
    <w:p>
      <w:r>
        <w:t>3. Tableau 分析应从“海拔结构”转向“生态带—功能—资源组合”观察，帮助呈现遗址如何围绕资源节点分布。</w:t>
      </w:r>
    </w:p>
    <w:p>
      <w:r>
        <w:t>4. 内天山—七河地区青铜时代山地生业体系，可能建立在跨生态带资源组织之上：人群通过河谷、山麓、高山草场和山口之间的移动与连接，将作物种植、畜群管理、季节性活动和仪式实践整合起来。</w:t>
      </w:r>
    </w:p>
    <w:p>
      <w:r>
        <w:t>景观考古学在本文中的价值，不是用理论术语替代材料分析，而是在遗址材料基础上解释资源组织方式。对于缺少一手科技考古数据的课程论文而言，最稳妥的推进方向，是以关键遗址为基础，通过文献汇编和 Tableau 空间观察，提出“跨生态带资源组织”这一可进一步检验的问题。</w:t>
      </w:r>
    </w:p>
    <w:p>
      <w:r>
        <w:t>————————————————————</w:t>
      </w:r>
    </w:p>
    <w:p>
      <w:pPr>
        <w:pStyle w:val="Heading2"/>
      </w:pPr>
      <w:r>
        <w:t>参考文献（正文引用，完整分级清单见 docs/03_参考文献清单.md）</w:t>
      </w:r>
    </w:p>
    <w:p>
      <w:r>
        <w:t>1. Frachetti, M.D. 2008. Pastoralist Landscapes and Social Interaction in Bronze Age Eurasia. Berkeley: University of California Press.</w:t>
      </w:r>
    </w:p>
    <w:p>
      <w:r>
        <w:t>2. Frachetti, M.D. &amp; Mar'yashev, A.N. 2007. Long-term occupation and seasonal settlement of eastern Eurasian pastoralists at Begash, Kazakhstan. Journal of Field Archaeology 32(3): 221–242.</w:t>
      </w:r>
    </w:p>
    <w:p>
      <w:r>
        <w:t>3. Frachetti, M.D., Spengler, R.N., Fritz, G.J. &amp; Mar'yashev, A.N. 2010. Earliest direct evidence for broomcorn millet and wheat in the central Eurasian steppe region. Antiquity 84(326): 993–1010.</w:t>
      </w:r>
    </w:p>
    <w:p>
      <w:r>
        <w:t>4. Frachetti, M.D. 2012. Multiregional emergence of mobile pastoralism and nonuniform institutional complexity across Eurasia. Current Anthropology 53(1): 2–38.</w:t>
      </w:r>
    </w:p>
    <w:p>
      <w:r>
        <w:t>5. Frachetti, M.D., Smith, C.E., Traub, C.M. &amp; Williams, T. 2017. Nomadic ecology shaped the highland geography of Asia's Silk Roads. Nature 543: 193–198.</w:t>
      </w:r>
    </w:p>
    <w:p>
      <w:r>
        <w:t>6. Doumani, P.N., Frachetti, M.D., Beardmore, R., Schmaus, T., Spengler, R.N. &amp; Mar'yashev, A.N. 2015. Burial ritual, agriculture, and craft production among Bronze Age pastoralists at Tasbas (Kazakhstan). Archaeological Research in Asia 1–2: 17–32.</w:t>
      </w:r>
    </w:p>
    <w:p>
      <w:r>
        <w:t>7. Spengler, R.N., Frachetti, M.D., Doumani, P.N., et al. 2014. Early agriculture and crop transmission among Bronze Age mobile pastoralists of Central Eurasia. Proceedings of the Royal Society B 281: 20133382.</w:t>
      </w:r>
    </w:p>
    <w:p>
      <w:r>
        <w:t>8. Motuzaite Matuzeviciute, G., Preece, R.C., Wang, S., et al. 2017. Ecology and subsistence at the Mesolithic and Bronze Age site of Aigyrzhal-2, Naryn valley, Kyrgyzstan. Quaternary International 437: 35–49.</w:t>
      </w:r>
    </w:p>
    <w:p>
      <w:r>
        <w:t>9. Motuzaite Matuzeviciute, G., Mir-Makhamad, B., Spate, M., et al. 2020. High-altitude agro-pastoralism in the Kyrgyz Tien Shan: new excavations of the Chap farmstead (1065–825 cal BC). Journal of Field Archaeology 45(1): 29–45.</w:t>
      </w:r>
    </w:p>
    <w:p>
      <w:pPr>
        <w:pStyle w:val="ListNumber"/>
      </w:pPr>
      <w:r>
        <w:t>Hermes, T.R., Frachetti, M.D., Doumani Dupuy, P.N., et al. 2019. Early integration of pastoralism and millet cultivation in Bronze Age Eurasia. Proceedings of the Royal Society B 286: 20191273.</w:t>
      </w:r>
    </w:p>
    <w:p>
      <w:pPr>
        <w:pStyle w:val="ListNumber"/>
      </w:pPr>
      <w:r>
        <w:t>Ingold, T. 1993. The temporality of the landscape. World Archaeology 25(2): 152–174.</w:t>
      </w:r>
    </w:p>
    <w:p>
      <w:pPr>
        <w:pStyle w:val="ListNumber"/>
      </w:pPr>
      <w:r>
        <w:t>Murra, J.V. 1972. El "control vertical" de un máximo de pisos ecológicos en la economía de las sociedades andinas. Huánuco: Universidad Nacional Hermilio Valdizán.</w:t>
      </w:r>
    </w:p>
    <w:p>
      <w:pPr>
        <w:pStyle w:val="ListNumber"/>
      </w:pPr>
      <w:r>
        <w:t>Горячев, А.А. 2004. О хронологии и периодизации памятников эпохи бронзы Семиречья // История и археология Семиречья. Вып. 4. Алматы.</w:t>
      </w:r>
    </w:p>
    <w:p>
      <w:pPr>
        <w:pStyle w:val="ListNumber"/>
      </w:pPr>
      <w:r>
        <w:t>Марьяшев, А.Н., Горячев, А.А. 2002. Наскальные изображения Семиречья. 2-е изд. Алматы.</w:t>
      </w:r>
    </w:p>
    <w:p>
      <w:pPr>
        <w:pStyle w:val="ListNumber"/>
      </w:pPr>
      <w:r>
        <w:t>Рогожинский, А.Е. 2011. Петроглифы археологического ландшафта Тамгалы. Алматы.</w:t>
      </w:r>
    </w:p>
    <w:p>
      <w:pPr>
        <w:pStyle w:val="ListNumber"/>
      </w:pPr>
      <w:r>
        <w:t>Табалдиев, К.Ш. 2011. Древние памятники Тянь-Шаня. Бишкек: Университет Центральной Азии.</w:t>
      </w:r>
    </w:p>
    <w:p>
      <w:pPr>
        <w:pStyle w:val="ListNumber"/>
      </w:pPr>
      <w:r>
        <w:t>丛德新、贾笑冰等：《新疆温泉县阿敦乔鲁遗址与墓地》，《考古》2013 年第 7 期。</w:t>
      </w:r>
    </w:p>
    <w:p>
      <w:pPr>
        <w:pStyle w:val="ListNumber"/>
      </w:pPr>
      <w:r>
        <w:t>贾伟明：《史前游牧业的考古学探索——新疆博尔塔拉河流域的聚落考古》，《西域研究》2018 年第 3 期。</w:t>
      </w:r>
    </w:p>
    <w:p>
      <w:pPr>
        <w:pStyle w:val="ListNumber"/>
      </w:pPr>
      <w:r>
        <w:t>Chang, C. 2018. Rethinking Prehistoric Central Asia: Shepherds, Farmers, and Nomads. London: Routledge.</w:t>
      </w:r>
    </w:p>
    <w:p>
      <w:pPr>
        <w:pStyle w:val="ListNumber"/>
      </w:pPr>
      <w:r>
        <w:t>陈胜前：《景观考古学——理论、方法与实践》，《南方文物》2012 年第 2 期。</w:t>
      </w:r>
    </w:p>
    <w:p>
      <w:pPr>
        <w:pStyle w:val="ListNumber"/>
      </w:pPr>
      <w:r>
        <w:t>Горячев, А.А. 2020. Археологический комплекс Тургень-II. Алматы: ИА КН МОН РК.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