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选题评估与研究设计优化</w:t>
      </w:r>
    </w:p>
    <w:p>
      <w:pPr>
        <w:pStyle w:val="Heading2"/>
      </w:pPr>
      <w:r>
        <w:t>一、重新判断问题重心</w:t>
      </w:r>
    </w:p>
    <w:p>
      <w:r>
        <w:t>调整后的选题判断： 对内天山—七河地区青铜时代材料而言，论文最值得讨论的问题不再是“是否存在农牧结合经济”，而是农作、畜牧、季节性移动以及河谷、山麓、高山草场等不同生态带资源如何被组织成一个山地生业体系。</w:t>
      </w:r>
    </w:p>
    <w:p>
      <w:r>
        <w:t>Begash、Tasbas、Aigyrzhal-2、Chap 等遗址的研究已经表明，青铜时代中亚山地人群并非单纯游牧者，作物利用与畜牧活动共存已基本成为共识。在既有研究确立农牧结合基础上，进一步探讨其组织机制，更能体现本文的推进空间。</w:t>
      </w:r>
    </w:p>
    <w:p>
      <w:r>
        <w:t>本文因此将研究重心从“农牧结合经济”上移到“跨生态带资源组织”：</w:t>
      </w:r>
    </w:p>
    <w:p>
      <w:r>
        <w:t>河谷、山麓、中山草场、高山草甸、山口与通道并不是同质背景，而是承担不同生计、交通与仪式功能的资源空间。问题在于，青铜时代山地人群如何在这些空间之间安排居住、耕作、放牧、埋葬、通行和仪式活动。</w:t>
      </w:r>
    </w:p>
    <w:p>
      <w:pPr>
        <w:pStyle w:val="Heading2"/>
      </w:pPr>
      <w:r>
        <w:t>二、优化后的题目与核心概念</w:t>
      </w:r>
    </w:p>
    <w:p>
      <w:r>
        <w:t>建议题目： 《跨生态带资源组织与山地生业体系：内天山—七河地区青铜时代遗址的景观考古学观察》</w:t>
      </w:r>
    </w:p>
    <w:p>
      <w:r>
        <w:t>如需保留原题中的“垂直景观”表述，可用：</w:t>
      </w:r>
    </w:p>
    <w:p>
      <w:r>
        <w:t>备选题目： 《垂直景观中的资源组织：内天山—七河地区青铜时代遗址的生态带功能与生业体系》</w:t>
      </w:r>
    </w:p>
    <w:p>
      <w:pPr>
        <w:pStyle w:val="Heading3"/>
      </w:pPr>
      <w:r>
        <w:t>核心概念：跨生态带资源组织</w:t>
      </w:r>
    </w:p>
    <w:p>
      <w:r>
        <w:t>“跨生态带资源组织”比“农牧结合”更适合作为论文主轴，因为它同时包含三层内容：</w:t>
      </w:r>
    </w:p>
    <w:p>
      <w:r>
        <w:t>1. 资源类型：作物、家畜、水源、耕地、牧场、山口、通道、仪式性地点。</w:t>
      </w:r>
    </w:p>
    <w:p>
      <w:r>
        <w:t>2. 生态带差异：河谷、山麓、中山草场、高山草甸、高位盆地与山口。</w:t>
      </w:r>
    </w:p>
    <w:p>
      <w:r>
        <w:t>3. 组织方式：居住节点、农牧复合节点、季节性移动路径、墓葬与岩画的空间分工。</w:t>
      </w:r>
    </w:p>
    <w:p>
      <w:r>
        <w:t>在这个框架下，“农牧结合”不是结论本身，而是资源组织中的一类现象；真正需要解释的是这些资源如何在山地景观中被安排和连接。</w:t>
      </w:r>
    </w:p>
    <w:p>
      <w:pPr>
        <w:pStyle w:val="Heading2"/>
      </w:pPr>
      <w:r>
        <w:t>三、核心研究问题</w:t>
      </w:r>
    </w:p>
    <w:p>
      <w:r>
        <w:t>总问题： 青铜时代内天山—七河地区山地人群如何依托河谷、山麓与高山草场之间的生态差异，组织农业、畜牧与季节性移动？</w:t>
      </w:r>
    </w:p>
    <w:p>
      <w:r>
        <w:t>可分解为三个子问题：</w:t>
      </w:r>
    </w:p>
    <w:p>
      <w:r>
        <w:t>1. 生态带功能问题</w:t>
      </w:r>
    </w:p>
    <w:p>
      <w:r>
        <w:t>不同生态带在生业体系中分别承担什么功能？河谷是否主要承担居住、耕作、水源利用和冬季避风等功能？山麓是否是农牧混合与季节转换的重要地带？高山草场和山口是否更多关联夏季放牧、通行和仪式活动？</w:t>
      </w:r>
    </w:p>
    <w:p>
      <w:r>
        <w:t>2. 关键遗址的资源组合问题</w:t>
      </w:r>
    </w:p>
    <w:p>
      <w:r>
        <w:t>Begash、Tasbas、Dali、Aigyrzhal-2、Chap、Uch-Kurbu 等遗址各自体现了怎样的资源组合？它们不应只被当作“出现农作物证据”的例子，而应被理解为不同生态位置上的资源节点。</w:t>
      </w:r>
    </w:p>
    <w:p>
      <w:r>
        <w:t>3. 景观结构与组织方式问题</w:t>
      </w:r>
    </w:p>
    <w:p>
      <w:r>
        <w:t>山地垂直生态带的压缩分布是否降低了跨生态带利用成本？河谷—山麓—高山草场之间是否形成可反复利用的季节性路径？遗址分布是否反映资源节点之间的连接，而不仅是海拔差异？</w:t>
      </w:r>
    </w:p>
    <w:p>
      <w:pPr>
        <w:pStyle w:val="Heading2"/>
      </w:pPr>
      <w:r>
        <w:t>四、材料组织方式</w:t>
      </w:r>
    </w:p>
    <w:p>
      <w:r>
        <w:t>论文不宜先铺陈理论，再用遗址证明“垂直性”。更符合中国考古学论文的写法，是先展开关键遗址材料，再从材料中归纳景观组织。</w:t>
      </w:r>
    </w:p>
    <w:p>
      <w:pPr>
        <w:pStyle w:val="Heading3"/>
      </w:pPr>
      <w:r>
        <w:t>1. 河谷—山麓居住与耕作节点</w:t>
      </w:r>
    </w:p>
    <w:p>
      <w:r>
        <w:t>重点材料包括 Begash、Dali、Aigyrzhal-2、Uch-Kurbu。讨论重点不只是有无作物，而是它们与水源、避风环境、可耕地、冬春活动和河谷通道之间的关系。</w:t>
      </w:r>
    </w:p>
    <w:p>
      <w:pPr>
        <w:pStyle w:val="Heading3"/>
      </w:pPr>
      <w:r>
        <w:t>2. 高地农牧复合节点</w:t>
      </w:r>
    </w:p>
    <w:p>
      <w:r>
        <w:t>重点材料包括 Tasbas、Chap I/II、Turgen、Asy 高地材料。讨论重点是高地地点是否同时包含居住、作物利用、畜牧、加工、墓葬或仪式活动，而不是简单归入“夏牧场”或“高海拔农业”。</w:t>
      </w:r>
    </w:p>
    <w:p>
      <w:pPr>
        <w:pStyle w:val="Heading3"/>
      </w:pPr>
      <w:r>
        <w:t>3. 高山草场、山口与仪式性地点</w:t>
      </w:r>
    </w:p>
    <w:p>
      <w:r>
        <w:t>重点材料包括 Tamgaly、Kulzhabasy、Saimaluu-Tash、Juuku valley、Asy plateau petroglyphs。岩画材料可用于讨论高山草场、通道和季节性到访，但必须明确风格断代的限制。</w:t>
      </w:r>
    </w:p>
    <w:p>
      <w:pPr>
        <w:pStyle w:val="Heading3"/>
      </w:pPr>
      <w:r>
        <w:t>4. 博尔塔拉比较材料</w:t>
      </w:r>
    </w:p>
    <w:p>
      <w:r>
        <w:t>阿敦乔鲁、呼斯塔可作为跨天山比较材料，而不宜并入主体区域平行展开。它们的意义在于提示高位盆地和山口节点可能具有聚落、交通和交流的复合功能。</w:t>
      </w:r>
    </w:p>
    <w:p>
      <w:pPr>
        <w:pStyle w:val="Heading2"/>
      </w:pPr>
      <w:r>
        <w:t>五、Tableau 分析设计</w:t>
      </w:r>
    </w:p>
    <w:p>
      <w:r>
        <w:t>Tableau 的作用应从“证明海拔结构”调整为“观察生态带—功能—资源组合”。</w:t>
      </w:r>
    </w:p>
    <w:p>
      <w:pPr>
        <w:pStyle w:val="Heading3"/>
      </w:pPr>
      <w:r>
        <w:t>图 1：遗址与生态带分布图</w:t>
      </w:r>
    </w:p>
    <w:p>
      <w:r>
        <w:t>展示遗址与河谷、山麓、高山草场、山口之间的关系。该图用于说明遗址是否集中于资源节点，而不是仅显示点位位置。</w:t>
      </w:r>
    </w:p>
    <w:p>
      <w:pPr>
        <w:pStyle w:val="Heading3"/>
      </w:pPr>
      <w:r>
        <w:t>图 2：生态带—遗址功能矩阵</w:t>
      </w:r>
    </w:p>
    <w:p>
      <w:r>
        <w:t>以生态带为横轴，以遗址类型或活动证据为纵轴，观察居址、墓葬、岩画、作物、家畜证据在不同生态带中的组合关系。</w:t>
      </w:r>
    </w:p>
    <w:p>
      <w:pPr>
        <w:pStyle w:val="Heading3"/>
      </w:pPr>
      <w:r>
        <w:t>图 3：关键遗址资源组合图</w:t>
      </w:r>
    </w:p>
    <w:p>
      <w:r>
        <w:t>以 Begash、Tasbas、Dali、Aigyrzhal-2、Chap、Uch-Kurbu 等为行，以作物、羊/山羊、牛、马、墓葬、岩画、河谷位置、高山草场或山口位置等为列，显示不同遗址承担的资源功能。</w:t>
      </w:r>
    </w:p>
    <w:p>
      <w:pPr>
        <w:pStyle w:val="Heading3"/>
      </w:pPr>
      <w:r>
        <w:t>图 4：河谷—山麓—高山草场剖面式示意图</w:t>
      </w:r>
    </w:p>
    <w:p>
      <w:r>
        <w:t>作为概念图使用，展示不同生态带在山地生业体系中的可能分工：河谷与山麓承担居住、耕作、越冬和水源利用，高山草场承担夏季放牧，山口和岩画点联系通行与仪式活动。</w:t>
      </w:r>
    </w:p>
    <w:p>
      <w:pPr>
        <w:pStyle w:val="Heading2"/>
      </w:pPr>
      <w:r>
        <w:t>六、论证逻辑</w:t>
      </w:r>
    </w:p>
    <w:p>
      <w:r>
        <w:t>新的论证顺序为：</w:t>
      </w:r>
    </w:p>
    <w:p>
      <w:r>
        <w:t>1. 内天山—七河地区具有明显的垂直生态带差异。</w:t>
      </w:r>
    </w:p>
    <w:p>
      <w:r>
        <w:t>2. 不同生态带提供不同资源，并具有不同季节可利用性。</w:t>
      </w:r>
    </w:p>
    <w:p>
      <w:r>
        <w:t>3. 青铜时代遗址并非随机分布，而是集中于河谷、山麓、高地草场和通道节点。</w:t>
      </w:r>
    </w:p>
    <w:p>
      <w:r>
        <w:t>4. Begash、Tasbas、Chap、Aigyrzhal-2 等遗址显示农业和牧业不是简单并列，而是被安置在不同生态空间中。</w:t>
      </w:r>
    </w:p>
    <w:p>
      <w:r>
        <w:t>5. 河谷、山麓、高山草场、山口之间可能构成互补性资源体系。</w:t>
      </w:r>
    </w:p>
    <w:p>
      <w:r>
        <w:t>6. 景观考古学的价值在于解释这种资源组织方式，而不是单纯给海拔差异命名。</w:t>
      </w:r>
    </w:p>
    <w:p>
      <w:pPr>
        <w:pStyle w:val="Heading2"/>
      </w:pPr>
      <w:r>
        <w:t>七、风险与对策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风险</w:t>
            </w:r>
          </w:p>
        </w:tc>
        <w:tc>
          <w:tcPr>
            <w:tcW w:type="dxa" w:w="4320"/>
          </w:tcPr>
          <w:p>
            <w:r>
              <w:t>对策</w:t>
            </w:r>
          </w:p>
        </w:tc>
      </w:tr>
      <w:tr>
        <w:tc>
          <w:tcPr>
            <w:tcW w:type="dxa" w:w="4320"/>
          </w:tcPr>
          <w:p>
            <w:r>
              <w:t>论证重新滑回“是否农牧结合”</w:t>
            </w:r>
          </w:p>
        </w:tc>
        <w:tc>
          <w:tcPr>
            <w:tcW w:type="dxa" w:w="4320"/>
          </w:tcPr>
          <w:p>
            <w:r>
              <w:t>在绪论和结论中明确：农牧结合是前提，资源组织是问题</w:t>
            </w:r>
          </w:p>
        </w:tc>
      </w:tr>
      <w:tr>
        <w:tc>
          <w:tcPr>
            <w:tcW w:type="dxa" w:w="4320"/>
          </w:tcPr>
          <w:p>
            <w:r>
              <w:t>Tableau 分析仍停留在海拔统计</w:t>
            </w:r>
          </w:p>
        </w:tc>
        <w:tc>
          <w:tcPr>
            <w:tcW w:type="dxa" w:w="4320"/>
          </w:tcPr>
          <w:p>
            <w:r>
              <w:t>增加生态带—功能矩阵和关键遗址资源组合图</w:t>
            </w:r>
          </w:p>
        </w:tc>
      </w:tr>
      <w:tr>
        <w:tc>
          <w:tcPr>
            <w:tcW w:type="dxa" w:w="4320"/>
          </w:tcPr>
          <w:p>
            <w:r>
              <w:t>关键遗址材料不足</w:t>
            </w:r>
          </w:p>
        </w:tc>
        <w:tc>
          <w:tcPr>
            <w:tcW w:type="dxa" w:w="4320"/>
          </w:tcPr>
          <w:p>
            <w:r>
              <w:t>扩展 Begash、Tasbas、Aigyrzhal-2、Chap 的个案讨论，使其成为论证主体</w:t>
            </w:r>
          </w:p>
        </w:tc>
      </w:tr>
      <w:tr>
        <w:tc>
          <w:tcPr>
            <w:tcW w:type="dxa" w:w="4320"/>
          </w:tcPr>
          <w:p>
            <w:r>
              <w:t>岩画断代不确定</w:t>
            </w:r>
          </w:p>
        </w:tc>
        <w:tc>
          <w:tcPr>
            <w:tcW w:type="dxa" w:w="4320"/>
          </w:tcPr>
          <w:p>
            <w:r>
              <w:t>只作为通道、草场和仪式活动的提示性材料，不作强证据</w:t>
            </w:r>
          </w:p>
        </w:tc>
      </w:tr>
      <w:tr>
        <w:tc>
          <w:tcPr>
            <w:tcW w:type="dxa" w:w="4320"/>
          </w:tcPr>
          <w:p>
            <w:r>
              <w:t>缺少一手科技数据</w:t>
            </w:r>
          </w:p>
        </w:tc>
        <w:tc>
          <w:tcPr>
            <w:tcW w:type="dxa" w:w="4320"/>
          </w:tcPr>
          <w:p>
            <w:r>
              <w:t>明确本文为文献汇编与课程层面的景观观察，结论使用“提示”“可能”等谨慎表述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