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地图与可视化方案</w:t>
      </w:r>
    </w:p>
    <w:p>
      <w:r>
        <w:t>数据源：data/sites_database.csv（UTF-8，含 BOM 兼容版本可由 Excel 另存）。导入 Tableau 后，将 Latitude / Longitude 字段设为地理角色“纬度/经度”。</w:t>
      </w:r>
    </w:p>
    <w:p>
      <w:r>
        <w:t>本方案的目标已从单纯展示“海拔结构”调整为观察生态带—遗址功能—资源组合之间的关系。海拔仍是重要变量，但不再作为论文唯一主轴；Tableau 图表应服务于“跨生态带资源组织”这一问题。</w:t>
      </w:r>
    </w:p>
    <w:p>
      <w:pPr>
        <w:pStyle w:val="Heading2"/>
      </w:pPr>
      <w:r>
        <w:t>图 1（必做）：遗址与生态带分布图</w:t>
      </w:r>
    </w:p>
    <w:p>
      <w:pPr>
        <w:pStyle w:val="ListBullet"/>
      </w:pPr>
      <w:r>
        <w:t>类型： 符号地图（Symbol Map）</w:t>
      </w:r>
    </w:p>
    <w:p>
      <w:pPr>
        <w:pStyle w:val="ListBullet"/>
      </w:pPr>
      <w:r>
        <w:t>做法： Longitude → 列，Latitude → 行；Site Type CN（遗址类型）→ 形状；Eco Zone CN（生态带）→ 颜色；Coordinate Precision → 透明度或边框；Subregion CN → 筛选器。</w:t>
      </w:r>
    </w:p>
    <w:p>
      <w:pPr>
        <w:pStyle w:val="ListBullet"/>
      </w:pPr>
      <w:r>
        <w:t>底图： 建议选择 “Outdoors” 或带地形晕渲的底图，以突出山地、河谷与高原。</w:t>
      </w:r>
    </w:p>
    <w:p>
      <w:pPr>
        <w:pStyle w:val="ListBullet"/>
      </w:pPr>
      <w:r>
        <w:t>论证作用： 观察遗址是否集中于河谷、山麓、高山草场和山口附近，说明遗址分布与资源节点之间的关系。</w:t>
      </w:r>
    </w:p>
    <w:p>
      <w:pPr>
        <w:pStyle w:val="Heading2"/>
      </w:pPr>
      <w:r>
        <w:t>图 2（核心）：生态带—遗址功能矩阵</w:t>
      </w:r>
    </w:p>
    <w:p>
      <w:pPr>
        <w:pStyle w:val="ListBullet"/>
      </w:pPr>
      <w:r>
        <w:t>类型： 高亮表（Highlight Table）或堆叠条形图</w:t>
      </w:r>
    </w:p>
    <w:p>
      <w:pPr>
        <w:pStyle w:val="ListBullet"/>
      </w:pPr>
      <w:r>
        <w:t>做法：</w:t>
      </w:r>
    </w:p>
    <w:p>
      <w:pPr>
        <w:pStyle w:val="ListBullet"/>
      </w:pPr>
      <w:r>
        <w:t>行：Eco Zone CN</w:t>
      </w:r>
    </w:p>
    <w:p>
      <w:pPr>
        <w:pStyle w:val="ListBullet"/>
      </w:pPr>
      <w:r>
        <w:t>列：Site Type CN</w:t>
      </w:r>
    </w:p>
    <w:p>
      <w:pPr>
        <w:pStyle w:val="ListBullet"/>
      </w:pPr>
      <w:r>
        <w:t>颜色或大小：遗址数量</w:t>
      </w:r>
    </w:p>
    <w:p>
      <w:pPr>
        <w:pStyle w:val="ListBullet"/>
      </w:pPr>
      <w:r>
        <w:t>可加入 Subregion CN 作为筛选器，分别观察七河、内天山和博尔塔拉比较材料。</w:t>
      </w:r>
    </w:p>
    <w:p>
      <w:pPr>
        <w:pStyle w:val="ListBullet"/>
      </w:pPr>
      <w:r>
        <w:t>可观察问题：</w:t>
      </w:r>
    </w:p>
    <w:p>
      <w:pPr>
        <w:pStyle w:val="ListBullet"/>
      </w:pPr>
      <w:r>
        <w:t>哪些生态带以居址或居址+墓葬为主？</w:t>
      </w:r>
    </w:p>
    <w:p>
      <w:pPr>
        <w:pStyle w:val="ListBullet"/>
      </w:pPr>
      <w:r>
        <w:t>岩画是否更集中于高山草场、山口或通道地带？</w:t>
      </w:r>
    </w:p>
    <w:p>
      <w:pPr>
        <w:pStyle w:val="ListBullet"/>
      </w:pPr>
      <w:r>
        <w:t>高地遗址是否只对应岩画，还是也存在居址和农牧活动？</w:t>
      </w:r>
    </w:p>
    <w:p>
      <w:pPr>
        <w:pStyle w:val="ListBullet"/>
      </w:pPr>
      <w:r>
        <w:t>论证作用： 将“不同生态带承担不同功能”可视化，避免分析退回单纯海拔高低。</w:t>
      </w:r>
    </w:p>
    <w:p>
      <w:pPr>
        <w:pStyle w:val="Heading2"/>
      </w:pPr>
      <w:r>
        <w:t>图 3（核心）：关键遗址资源组合图</w:t>
      </w:r>
    </w:p>
    <w:p>
      <w:pPr>
        <w:pStyle w:val="ListBullet"/>
      </w:pPr>
      <w:r>
        <w:t>类型： 点阵图、热力矩阵或高亮表</w:t>
      </w:r>
    </w:p>
    <w:p>
      <w:pPr>
        <w:pStyle w:val="ListBullet"/>
      </w:pPr>
      <w:r>
        <w:t>筛选对象： Begash、Dali、Tasbas、Aigyrzhal-2、Chap I、Chap II、Uch-Kurbu、Turgen-2、Asy-Saga、Tamgaly、Kulzhabasy、Saimaluu-Tash、Adunqiaolu、Husta。</w:t>
      </w:r>
    </w:p>
    <w:p>
      <w:pPr>
        <w:pStyle w:val="ListBullet"/>
      </w:pPr>
      <w:r>
        <w:t>做法：</w:t>
      </w:r>
    </w:p>
    <w:p>
      <w:pPr>
        <w:pStyle w:val="ListBullet"/>
      </w:pPr>
      <w:r>
        <w:t>行：Site Name CN</w:t>
      </w:r>
    </w:p>
    <w:p>
      <w:pPr>
        <w:pStyle w:val="ListBullet"/>
      </w:pPr>
      <w:r>
        <w:t>列：资源或活动字段，如 Millet、Wheat、Barley、Sheep-Goat、Cattle、Horse、Site Type CN、Eco Zone CN</w:t>
      </w:r>
    </w:p>
    <w:p>
      <w:pPr>
        <w:pStyle w:val="ListBullet"/>
      </w:pPr>
      <w:r>
        <w:t>颜色：有 / 无 / 不明</w:t>
      </w:r>
    </w:p>
    <w:p>
      <w:pPr>
        <w:pStyle w:val="ListBullet"/>
      </w:pPr>
      <w:r>
        <w:t>排序：不按海拔机械排序，可按“河谷—山麓—中山—高山草场—山口比较材料”的解释顺序排列。</w:t>
      </w:r>
    </w:p>
    <w:p>
      <w:pPr>
        <w:pStyle w:val="ListBullet"/>
      </w:pPr>
      <w:r>
        <w:t>论证作用： 展示关键遗址不是同一类“农牧结合证据”，而是不同生态位置上的资源组合节点。</w:t>
      </w:r>
    </w:p>
    <w:p>
      <w:pPr>
        <w:pStyle w:val="ListBullet"/>
      </w:pPr>
      <w:r>
        <w:t>写作提示： 对 Begash、Tasbas、Aigyrzhal-2、Chap 等遗址应结合正文个案讨论解释，图表只作材料组织辅助。</w:t>
      </w:r>
    </w:p>
    <w:p>
      <w:pPr>
        <w:pStyle w:val="Heading2"/>
      </w:pPr>
      <w:r>
        <w:t>图 4（辅助）：生业证据—生态带分布图</w:t>
      </w:r>
    </w:p>
    <w:p>
      <w:pPr>
        <w:pStyle w:val="ListBullet"/>
      </w:pPr>
      <w:r>
        <w:t>类型： 分面散点图或气泡图</w:t>
      </w:r>
    </w:p>
    <w:p>
      <w:pPr>
        <w:pStyle w:val="ListBullet"/>
      </w:pPr>
      <w:r>
        <w:t>做法：</w:t>
      </w:r>
    </w:p>
    <w:p>
      <w:pPr>
        <w:pStyle w:val="ListBullet"/>
      </w:pPr>
      <w:r>
        <w:t>横轴：Eco Zone CN</w:t>
      </w:r>
    </w:p>
    <w:p>
      <w:pPr>
        <w:pStyle w:val="ListBullet"/>
      </w:pPr>
      <w:r>
        <w:t>纵轴：Elevation m</w:t>
      </w:r>
    </w:p>
    <w:p>
      <w:pPr>
        <w:pStyle w:val="ListBullet"/>
      </w:pPr>
      <w:r>
        <w:t>颜色：作物证据（可将 Millet、Wheat、Barley 汇总为“作物有/无”）</w:t>
      </w:r>
    </w:p>
    <w:p>
      <w:pPr>
        <w:pStyle w:val="ListBullet"/>
      </w:pPr>
      <w:r>
        <w:t>形状：家畜证据或遗址类型</w:t>
      </w:r>
    </w:p>
    <w:p>
      <w:pPr>
        <w:pStyle w:val="ListBullet"/>
      </w:pPr>
      <w:r>
        <w:t>论证作用： 观察作物与家畜证据在不同生态带中的分布，讨论农业、牧业是否被安排在不同空间节点中。</w:t>
      </w:r>
    </w:p>
    <w:p>
      <w:pPr>
        <w:pStyle w:val="ListBullet"/>
      </w:pPr>
      <w:r>
        <w:t>注意： 不宜据此直接判断种植地点，除非原始报告有明确本地种植、加工工具或同位素证据。</w:t>
      </w:r>
    </w:p>
    <w:p>
      <w:pPr>
        <w:pStyle w:val="Heading2"/>
      </w:pPr>
      <w:r>
        <w:t>图 5（可选）：河谷—山麓—高山草场剖面式示意图</w:t>
      </w:r>
    </w:p>
    <w:p>
      <w:pPr>
        <w:pStyle w:val="ListBullet"/>
      </w:pPr>
      <w:r>
        <w:t>类型： 概念性剖面图或示意仪表板</w:t>
      </w:r>
    </w:p>
    <w:p>
      <w:pPr>
        <w:pStyle w:val="ListBullet"/>
      </w:pPr>
      <w:r>
        <w:t>做法一： 使用 Elevation m 为纵向轴，以生态带顺序排列遗址点。</w:t>
      </w:r>
    </w:p>
    <w:p>
      <w:pPr>
        <w:pStyle w:val="ListBullet"/>
      </w:pPr>
      <w:r>
        <w:t>做法二： 在 Tableau 仪表板中组合地图、生态带矩阵和资源组合图，形成从低地到高地的解释性展示。</w:t>
      </w:r>
    </w:p>
    <w:p>
      <w:pPr>
        <w:pStyle w:val="ListBullet"/>
      </w:pPr>
      <w:r>
        <w:t>论证作用： 展示河谷、山麓、中山、高山草场与山口在生业体系中的可能分工。</w:t>
      </w:r>
    </w:p>
    <w:p>
      <w:pPr>
        <w:pStyle w:val="ListBullet"/>
      </w:pPr>
      <w:r>
        <w:t>说明： 该图是解释性示意，不是严格地形剖面；若发展为正式研究，应转入 GIS 制作真实地形剖面和成本路径分析。</w:t>
      </w:r>
    </w:p>
    <w:p>
      <w:pPr>
        <w:pStyle w:val="Heading2"/>
      </w:pPr>
      <w:r>
        <w:t>仪表板建议</w:t>
      </w:r>
    </w:p>
    <w:p>
      <w:r>
        <w:t>建议将图 1、图 2、图 3 组合为一个交互仪表板：</w:t>
      </w:r>
    </w:p>
    <w:p>
      <w:r>
        <w:t>1. 地图作为主视图。</w:t>
      </w:r>
    </w:p>
    <w:p>
      <w:r>
        <w:t>2. 点击某一生态带或遗址类型时，联动过滤资源组合图。</w:t>
      </w:r>
    </w:p>
    <w:p>
      <w:r>
        <w:t>3. 使用 Subregion CN 和 Period 作为全局筛选器。</w:t>
      </w:r>
    </w:p>
    <w:p>
      <w:r>
        <w:t>4. 在图注中标明坐标精度和数据来源。</w:t>
      </w:r>
    </w:p>
    <w:p>
      <w:r>
        <w:t>该仪表板的展示重点应是：</w:t>
      </w:r>
    </w:p>
    <w:p>
      <w:r>
        <w:t>青铜时代遗址如何分布在不同生态带和资源节点上，以及这些节点如何共同构成山地生业体系。</w:t>
      </w:r>
    </w:p>
    <w:p>
      <w:pPr>
        <w:pStyle w:val="Heading2"/>
      </w:pPr>
      <w:r>
        <w:t>操作提示</w:t>
      </w:r>
    </w:p>
    <w:p>
      <w:r>
        <w:t>1. 经纬度为十进制度（WGS84），Tableau 通常可自动识别；若点位偏移，检查地理角色设置。</w:t>
      </w:r>
    </w:p>
    <w:p>
      <w:r>
        <w:t>2. Elevation m 设为连续度量；生态带比较时优先使用 Eco Zone CN，避免只按绝对海拔解释。</w:t>
      </w:r>
    </w:p>
    <w:p>
      <w:r>
        <w:t>3. 如需建立作物汇总字段，可设置计算字段：IF [Millet]="Yes" OR [Wheat]="Yes" OR [Barley]="Yes" THEN "有作物证据" ELSE "无或不明" END。</w:t>
      </w:r>
    </w:p>
    <w:p>
      <w:r>
        <w:t>4. 如需建立家畜汇总字段，可设置计算字段：IF [Sheep-Goat]="Yes" OR [Cattle]="Yes" OR [Horse]="Yes" THEN "有家畜证据" ELSE "无或不明" END。</w:t>
      </w:r>
    </w:p>
    <w:p>
      <w:r>
        <w:t>5. 导出论文用图时，建议固定仪表板尺寸（如 1600×1000），中文字体使用思源黑体或微软雅黑。</w:t>
      </w:r>
    </w:p>
    <w:p>
      <w:r>
        <w:t>6. 所有图均应注明：数据为文献汇编，部分坐标为近似或谷地级定位，岩画断代存在风格学限制。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