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内天山七河地区青铜时代景观考古课程论文项目"/>
    <w:p>
      <w:pPr>
        <w:pStyle w:val="Heading1"/>
      </w:pPr>
      <w:r>
        <w:t xml:space="preserve">内天山—七河地区青铜时代景观考古课程论文项目</w:t>
      </w:r>
    </w:p>
    <w:p>
      <w:pPr>
        <w:pStyle w:val="FirstParagraph"/>
      </w:pPr>
      <w:r>
        <w:t xml:space="preserve">景观考古学课程论文全套材料：选题论证、论文正文、Tableau 遗址数据库与可视化方案、参考文献。</w:t>
      </w:r>
    </w:p>
    <w:bookmarkStart w:id="20" w:name="目录导览"/>
    <w:p>
      <w:pPr>
        <w:pStyle w:val="Heading2"/>
      </w:pPr>
      <w:r>
        <w:t xml:space="preserve">目录导览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docs/01_选题评估与研究设计.md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初步选题评估、优化后的选题（</w:t>
            </w:r>
            <w:r>
              <w:t xml:space="preserve">“</w:t>
            </w:r>
            <w:r>
              <w:t xml:space="preserve">垂直景观与季节性流动</w:t>
            </w:r>
            <w:r>
              <w:t xml:space="preserve">”</w:t>
            </w:r>
            <w:r>
              <w:t xml:space="preserve">）、核心研究问题与调整理由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paper/论文_垂直景观与季节性流动.md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课程论文正文（约 9000 字，含摘要、理论、分析、讨论、结论与引用文献）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data/sites_database.csv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处遗址数据库（坐标、海拔、生态带、类型、分期、生业证据），可直接导入 Tableau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data/数据字典.md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数据库字段定义与使用注意（坐标精度、断代依据等）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docs/02_Tableau可视化方案.md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套图表方案与仪表板建议（图 1 分布图为论文核心地图），含操作步骤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docs/03_参考文献清单.md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英/俄/中三语分级参考文献（原始报告优先）与检索建议</w:t>
            </w:r>
          </w:p>
        </w:tc>
      </w:tr>
    </w:tbl>
    <w:bookmarkEnd w:id="20"/>
    <w:bookmarkStart w:id="21" w:name="快速开始tableau"/>
    <w:p>
      <w:pPr>
        <w:pStyle w:val="Heading2"/>
      </w:pPr>
      <w:r>
        <w:t xml:space="preserve">快速开始（Tableau）</w:t>
      </w:r>
    </w:p>
    <w:p>
      <w:pPr>
        <w:numPr>
          <w:ilvl w:val="0"/>
          <w:numId w:val="1001"/>
        </w:numPr>
        <w:pStyle w:val="Compact"/>
      </w:pPr>
      <w:r>
        <w:t xml:space="preserve">打开 Tableau，连接 → 文本文件 → 选择</w:t>
      </w:r>
      <w:r>
        <w:t xml:space="preserve"> </w:t>
      </w:r>
      <w:r>
        <w:rPr>
          <w:rStyle w:val="VerbatimChar"/>
        </w:rPr>
        <w:t xml:space="preserve">data/sites_database.csv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将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设为地理角色”纬度/经度”。</w:t>
      </w:r>
    </w:p>
    <w:p>
      <w:pPr>
        <w:numPr>
          <w:ilvl w:val="0"/>
          <w:numId w:val="1001"/>
        </w:numPr>
        <w:pStyle w:val="Compact"/>
      </w:pPr>
      <w:r>
        <w:t xml:space="preserve">按</w:t>
      </w:r>
      <w:r>
        <w:t xml:space="preserve"> </w:t>
      </w:r>
      <w:r>
        <w:rPr>
          <w:rStyle w:val="VerbatimChar"/>
        </w:rPr>
        <w:t xml:space="preserve">docs/02_Tableau可视化方案.md</w:t>
      </w:r>
      <w:r>
        <w:t xml:space="preserve"> </w:t>
      </w:r>
      <w:r>
        <w:t xml:space="preserve">制作图 1（遗址分布与功能—生态带结构图）。</w:t>
      </w:r>
    </w:p>
    <w:bookmarkEnd w:id="21"/>
    <w:bookmarkStart w:id="22" w:name="重要提示"/>
    <w:p>
      <w:pPr>
        <w:pStyle w:val="Heading2"/>
      </w:pPr>
      <w:r>
        <w:t xml:space="preserve">重要提示</w:t>
      </w:r>
    </w:p>
    <w:p>
      <w:pPr>
        <w:pStyle w:val="FirstParagraph"/>
      </w:pPr>
      <w:r>
        <w:t xml:space="preserve">数据库坐标为文献汇编（精度等级见</w:t>
      </w:r>
      <w:r>
        <w:t xml:space="preserve"> </w:t>
      </w:r>
      <w:r>
        <w:rPr>
          <w:rStyle w:val="VerbatimChar"/>
        </w:rPr>
        <w:t xml:space="preserve">Coordinate Precision</w:t>
      </w:r>
      <w:r>
        <w:t xml:space="preserve"> </w:t>
      </w:r>
      <w:r>
        <w:t xml:space="preserve">字段），用于区域尺度制图；提交论文前建议按数据字典的说明逐条回核关键遗址的原始报告。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2026-06-10T11:22:54Z</dcterms:created>
  <dcterms:modified xsi:type="dcterms:W3CDTF">2026-06-10T11:22:54Z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