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参考文献清单按重要性分级"/>
    <w:p>
      <w:pPr>
        <w:pStyle w:val="Heading1"/>
      </w:pPr>
      <w:r>
        <w:t xml:space="preserve">参考文献清单（按重要性分级）</w:t>
      </w:r>
    </w:p>
    <w:p>
      <w:pPr>
        <w:pStyle w:val="BlockText"/>
      </w:pPr>
      <w:r>
        <w:t xml:space="preserve">说明：★★★ = 必读核心（论文必引）；★★ = 重要；★ = 补充/背景。俄语文献附中译题名。建议获取顺序：先 ★★★ 英文（多数可在期刊官网或 Academia.edu 获取），再俄语原始报告（部分见 eLibrary.ru 或作者页面）。</w:t>
      </w:r>
    </w:p>
    <w:bookmarkStart w:id="23" w:name="一原始发掘报告与一手数据优先"/>
    <w:p>
      <w:pPr>
        <w:pStyle w:val="Heading2"/>
      </w:pPr>
      <w:r>
        <w:t xml:space="preserve">一、原始发掘报告与一手数据（优先）</w:t>
      </w:r>
    </w:p>
    <w:bookmarkStart w:id="20" w:name="七河准噶尔阿拉套zhetysu-dzhungar-alatau"/>
    <w:p>
      <w:pPr>
        <w:pStyle w:val="Heading3"/>
      </w:pPr>
      <w:r>
        <w:t xml:space="preserve">七河/准噶尔阿拉套（Zhetysu / Dzhungar Alatau）</w:t>
      </w:r>
    </w:p>
    <w:p>
      <w:pPr>
        <w:numPr>
          <w:ilvl w:val="0"/>
          <w:numId w:val="1001"/>
        </w:numPr>
        <w:pStyle w:val="Compact"/>
      </w:pPr>
      <w:r>
        <w:t xml:space="preserve">★★★ Frachetti, M.D. &amp; Mar’yashev, A.N. 2007. Long-term occupation and seasonal settlement of eastern Eurasian pastoralists at Begash, Kazakhstan.</w:t>
      </w:r>
      <w:r>
        <w:t xml:space="preserve"> </w:t>
      </w:r>
      <w:r>
        <w:rPr>
          <w:iCs/>
          <w:i/>
        </w:rPr>
        <w:t xml:space="preserve">Journal of Field Archaeology</w:t>
      </w:r>
      <w:r>
        <w:t xml:space="preserve"> </w:t>
      </w:r>
      <w:r>
        <w:t xml:space="preserve">32(3): 221–242.（Begash 发掘核心报告）</w:t>
      </w:r>
    </w:p>
    <w:p>
      <w:pPr>
        <w:numPr>
          <w:ilvl w:val="0"/>
          <w:numId w:val="1001"/>
        </w:numPr>
        <w:pStyle w:val="Compact"/>
      </w:pPr>
      <w:r>
        <w:t xml:space="preserve">★★★ Frachetti, M.D., Spengler, R.N., Fritz, G.J. &amp; Mar’yashev, A.N. 2010. Earliest direct evidence for broomcorn millet and wheat in the central Eurasian steppe region.</w:t>
      </w:r>
      <w:r>
        <w:t xml:space="preserve"> </w:t>
      </w:r>
      <w:r>
        <w:rPr>
          <w:iCs/>
          <w:i/>
        </w:rPr>
        <w:t xml:space="preserve">Antiquity</w:t>
      </w:r>
      <w:r>
        <w:t xml:space="preserve"> </w:t>
      </w:r>
      <w:r>
        <w:t xml:space="preserve">84(326): 993–1010.（Begash 黍/小麦直接测年）</w:t>
      </w:r>
    </w:p>
    <w:p>
      <w:pPr>
        <w:numPr>
          <w:ilvl w:val="0"/>
          <w:numId w:val="1001"/>
        </w:numPr>
        <w:pStyle w:val="Compact"/>
      </w:pPr>
      <w:r>
        <w:t xml:space="preserve">★★★ Doumani, P.N., Frachetti, M.D., Beardmore, R., Schmaus, T., Spengler, R.N. &amp; Mar’yashev, A.N. 2015. Burial ritual, agriculture, and craft production among Bronze Age pastoralists at Tasbas (Kazakhstan).</w:t>
      </w:r>
      <w:r>
        <w:t xml:space="preserve"> </w:t>
      </w:r>
      <w:r>
        <w:rPr>
          <w:iCs/>
          <w:i/>
        </w:rPr>
        <w:t xml:space="preserve">Archaeological Research in Asia</w:t>
      </w:r>
      <w:r>
        <w:t xml:space="preserve"> </w:t>
      </w:r>
      <w:r>
        <w:t xml:space="preserve">1–2: 17–32.（Tasbas 报告）</w:t>
      </w:r>
    </w:p>
    <w:p>
      <w:pPr>
        <w:numPr>
          <w:ilvl w:val="0"/>
          <w:numId w:val="1001"/>
        </w:numPr>
        <w:pStyle w:val="Compact"/>
      </w:pPr>
      <w:r>
        <w:t xml:space="preserve">★★ Spengler, R.N., Frachetti, M.D., Doumani, P.N., et al. 2014. Early agriculture and crop transmission among Bronze Age mobile pastoralists of Central Eurasia.</w:t>
      </w:r>
      <w:r>
        <w:t xml:space="preserve"> </w:t>
      </w:r>
      <w:r>
        <w:rPr>
          <w:iCs/>
          <w:i/>
        </w:rPr>
        <w:t xml:space="preserve">Proceedings of the Royal Society B</w:t>
      </w:r>
      <w:r>
        <w:t xml:space="preserve"> </w:t>
      </w:r>
      <w:r>
        <w:t xml:space="preserve">281: 20133382.（Tasbas/Begash 植物考古综合）</w:t>
      </w:r>
    </w:p>
    <w:p>
      <w:pPr>
        <w:numPr>
          <w:ilvl w:val="0"/>
          <w:numId w:val="1001"/>
        </w:numPr>
        <w:pStyle w:val="Compact"/>
      </w:pPr>
      <w:r>
        <w:t xml:space="preserve">★★ Frachetti, M.D., Smith, C.E., Traub, C.M. &amp; Williams, T. 2017. Nomadic ecology shaped the highland geography of Asia’s Silk Roads.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543: 193–198.（高地流动路径模型，Q3 直接相关）</w:t>
      </w:r>
    </w:p>
    <w:p>
      <w:pPr>
        <w:numPr>
          <w:ilvl w:val="0"/>
          <w:numId w:val="1001"/>
        </w:numPr>
        <w:pStyle w:val="Compact"/>
      </w:pPr>
      <w:r>
        <w:t xml:space="preserve">★★ Горячев, А.А. 2004. О хронологии и периодизации памятников эпохи бронзы Семиречья（《七河地区青铜时代遗存的年代与分期》）// История и археология Семиречья, вып. 4, Алматы.（Turgen、Asy 等天山北麓遗址）</w:t>
      </w:r>
    </w:p>
    <w:p>
      <w:pPr>
        <w:numPr>
          <w:ilvl w:val="0"/>
          <w:numId w:val="1001"/>
        </w:numPr>
        <w:pStyle w:val="Compact"/>
      </w:pPr>
      <w:r>
        <w:t xml:space="preserve">★★ Горячев, А.А. 2020. Археологический комплекс Тургень-II（《图尔根 II 考古遗址群》）, Алматы: ИА КН МОН РК.（伊犁阿拉套山地居址原始报告）</w:t>
      </w:r>
    </w:p>
    <w:p>
      <w:pPr>
        <w:numPr>
          <w:ilvl w:val="0"/>
          <w:numId w:val="1001"/>
        </w:numPr>
        <w:pStyle w:val="Compact"/>
      </w:pPr>
      <w:r>
        <w:t xml:space="preserve">★★ Mar’yashev, A.N. &amp; Goryachev, A.A. 2002. Наскальные изображения Семиречья（《七河地区岩画》）, 2-е изд. Алматы.（Tamgaly、Kulzhabasy、Eshkiolmes 岩画）</w:t>
      </w:r>
    </w:p>
    <w:p>
      <w:pPr>
        <w:numPr>
          <w:ilvl w:val="0"/>
          <w:numId w:val="1001"/>
        </w:numPr>
        <w:pStyle w:val="Compact"/>
      </w:pPr>
      <w:r>
        <w:t xml:space="preserve">★ Rogozhinskiy, A.E. 2011. Петроглифы археологического ландшафта Тамгалы（《塔姆加雷考古景观的岩画》）, Алматы.（Tamgaly 景观志，联合国教科文遗产申报基础）</w:t>
      </w:r>
    </w:p>
    <w:p>
      <w:pPr>
        <w:numPr>
          <w:ilvl w:val="0"/>
          <w:numId w:val="1001"/>
        </w:numPr>
        <w:pStyle w:val="Compact"/>
      </w:pPr>
      <w:r>
        <w:t xml:space="preserve">★ Chang, C. 2018.</w:t>
      </w:r>
      <w:r>
        <w:t xml:space="preserve"> </w:t>
      </w:r>
      <w:r>
        <w:rPr>
          <w:iCs/>
          <w:i/>
        </w:rPr>
        <w:t xml:space="preserve">Rethinking Prehistoric Central Asia: Shepherds, Farmers, and Nomads</w:t>
      </w:r>
      <w:r>
        <w:t xml:space="preserve">. London: Routledge.（塔尔加尔/Tuzusai，晚青铜—早铁农牧结合）</w:t>
      </w:r>
    </w:p>
    <w:bookmarkEnd w:id="20"/>
    <w:bookmarkStart w:id="21" w:name="内天山吉尔吉斯斯坦"/>
    <w:p>
      <w:pPr>
        <w:pStyle w:val="Heading3"/>
      </w:pPr>
      <w:r>
        <w:t xml:space="preserve">内天山（吉尔吉斯斯坦）</w:t>
      </w:r>
    </w:p>
    <w:p>
      <w:pPr>
        <w:numPr>
          <w:ilvl w:val="0"/>
          <w:numId w:val="1002"/>
        </w:numPr>
        <w:pStyle w:val="Compact"/>
      </w:pPr>
      <w:r>
        <w:t xml:space="preserve">★★★ Motuzaite Matuzeviciute, G., Mir-Makhamad, B. &amp; Tabaldiev, K. 2021(及相关系列). 高山农牧研究系列：Aigyrzhal-2、Chap 遗址植物考古与测年（见下两条）。</w:t>
      </w:r>
    </w:p>
    <w:p>
      <w:pPr>
        <w:numPr>
          <w:ilvl w:val="0"/>
          <w:numId w:val="1002"/>
        </w:numPr>
        <w:pStyle w:val="Compact"/>
      </w:pPr>
      <w:r>
        <w:t xml:space="preserve">★★★ Motuzaite Matuzeviciute, G., Kiryushin, Y.F., Rakhimzhanova, S., et al. 2016. Climatic or dietary change? Stable isotope analysis of Neolithic–Bronze Age populations in the Upper Ob and Tien Shan foothills.（同位素背景，可选）</w:t>
      </w:r>
    </w:p>
    <w:p>
      <w:pPr>
        <w:numPr>
          <w:ilvl w:val="0"/>
          <w:numId w:val="1002"/>
        </w:numPr>
        <w:pStyle w:val="Compact"/>
      </w:pPr>
      <w:r>
        <w:t xml:space="preserve">★★★ Motuzaite Matuzeviciute, G., Preece, R.C., Wang, S., et al. 2017. Ecology and subsistence at the Mesolithic and Bronze Age site of Aigyrzhal-2, Naryn valley, Kyrgyzstan.</w:t>
      </w:r>
      <w:r>
        <w:t xml:space="preserve"> </w:t>
      </w:r>
      <w:r>
        <w:rPr>
          <w:iCs/>
          <w:i/>
        </w:rPr>
        <w:t xml:space="preserve">Quaternary International</w:t>
      </w:r>
      <w:r>
        <w:t xml:space="preserve"> </w:t>
      </w:r>
      <w:r>
        <w:t xml:space="preserve">437: 35–49.（Aigyrzhal-2 原始报告）</w:t>
      </w:r>
    </w:p>
    <w:p>
      <w:pPr>
        <w:numPr>
          <w:ilvl w:val="0"/>
          <w:numId w:val="1002"/>
        </w:numPr>
        <w:pStyle w:val="Compact"/>
      </w:pPr>
      <w:r>
        <w:t xml:space="preserve">★★★ Motuzaite Matuzeviciute, G., Mir-Makhamad, B., Spate, M., et al. 2020. High-altitude agro-pastoralism in the Kyrgyz Tien Shan: new excavations of the Chap farmstead (1065–825 cal BC).</w:t>
      </w:r>
      <w:r>
        <w:t xml:space="preserve"> </w:t>
      </w:r>
      <w:r>
        <w:rPr>
          <w:iCs/>
          <w:i/>
        </w:rPr>
        <w:t xml:space="preserve">Journal of Field Archaeology</w:t>
      </w:r>
      <w:r>
        <w:t xml:space="preserve"> </w:t>
      </w:r>
      <w:r>
        <w:t xml:space="preserve">45(1): 29–45.（Chap I 报告，高海拔农业核心证据）</w:t>
      </w:r>
    </w:p>
    <w:p>
      <w:pPr>
        <w:numPr>
          <w:ilvl w:val="0"/>
          <w:numId w:val="1002"/>
        </w:numPr>
        <w:pStyle w:val="Compact"/>
      </w:pPr>
      <w:r>
        <w:t xml:space="preserve">★★ Motuzaite Matuzeviciute, G., Hermes, T.R., Mir-Makhamad, B. &amp; Tabaldiev, K. 2020. Southern inner Asian mountain corridor: the high-altitude dispersal of crops. 及 Chap II 早期作物南北传播相关论文（</w:t>
      </w:r>
      <w:r>
        <w:rPr>
          <w:iCs/>
          <w:i/>
        </w:rPr>
        <w:t xml:space="preserve">Antiquity</w:t>
      </w:r>
      <w:r>
        <w:t xml:space="preserve">/</w:t>
      </w:r>
      <w:r>
        <w:rPr>
          <w:iCs/>
          <w:i/>
        </w:rPr>
        <w:t xml:space="preserve">The Holocene</w:t>
      </w:r>
      <w:r>
        <w:t xml:space="preserve">）。</w:t>
      </w:r>
    </w:p>
    <w:p>
      <w:pPr>
        <w:numPr>
          <w:ilvl w:val="0"/>
          <w:numId w:val="1002"/>
        </w:numPr>
        <w:pStyle w:val="Compact"/>
      </w:pPr>
      <w:r>
        <w:t xml:space="preserve">★★ Tabaldiev, K. 2011. Древние памятники Тянь-Шаня（《天山古代遗存》）. Бишкек.（内天山遗址综合，含墓葬与岩画）</w:t>
      </w:r>
    </w:p>
    <w:p>
      <w:pPr>
        <w:numPr>
          <w:ilvl w:val="0"/>
          <w:numId w:val="1002"/>
        </w:numPr>
        <w:pStyle w:val="Compact"/>
      </w:pPr>
      <w:r>
        <w:t xml:space="preserve">★★ Rouse, L.M., Tabaldiev, K. &amp; Motuzaite Matuzeviciute, G. 2022. Exploring landscape archaeology and UAV-based survey in the Kochkor valley, Kyrgyzstan.</w:t>
      </w:r>
      <w:r>
        <w:t xml:space="preserve"> </w:t>
      </w:r>
      <w:r>
        <w:rPr>
          <w:iCs/>
          <w:i/>
        </w:rPr>
        <w:t xml:space="preserve">Journal of Field Archaeology</w:t>
      </w:r>
      <w:r>
        <w:t xml:space="preserve"> </w:t>
      </w:r>
      <w:r>
        <w:t xml:space="preserve">47(1).（科奇科尔谷地景观调查——方法上最可借鉴）</w:t>
      </w:r>
    </w:p>
    <w:p>
      <w:pPr>
        <w:numPr>
          <w:ilvl w:val="0"/>
          <w:numId w:val="1002"/>
        </w:numPr>
        <w:pStyle w:val="Compact"/>
      </w:pPr>
      <w:r>
        <w:t xml:space="preserve">★ Кузьмина, Е.Е. 1966. Металлические изделия энеолита и бронзового века в Средней Азии（《中亚铜石并用与青铜时代金属器》）. М.: Наука.</w:t>
      </w:r>
    </w:p>
    <w:p>
      <w:pPr>
        <w:numPr>
          <w:ilvl w:val="0"/>
          <w:numId w:val="1002"/>
        </w:numPr>
        <w:pStyle w:val="Compact"/>
      </w:pPr>
      <w:r>
        <w:t xml:space="preserve">★ Помаскина, Г.А. 1976. Саймалы-Таш 岩画相关报告（Фрунзе）。（高山岩画圣地 Saimaluu-Tash 原始材料）</w:t>
      </w:r>
    </w:p>
    <w:bookmarkEnd w:id="21"/>
    <w:bookmarkStart w:id="22" w:name="博尔塔拉新疆跨境对比"/>
    <w:p>
      <w:pPr>
        <w:pStyle w:val="Heading3"/>
      </w:pPr>
      <w:r>
        <w:t xml:space="preserve">博尔塔拉（新疆，跨境对比）</w:t>
      </w:r>
    </w:p>
    <w:p>
      <w:pPr>
        <w:numPr>
          <w:ilvl w:val="0"/>
          <w:numId w:val="1003"/>
        </w:numPr>
        <w:pStyle w:val="Compact"/>
      </w:pPr>
      <w:r>
        <w:t xml:space="preserve">★★★ 丛德新、贾笑冰等：《新疆温泉县阿敦乔鲁遗址与墓地》，《考古》2013 年第 7 期。（阿敦乔鲁发掘简报）</w:t>
      </w:r>
    </w:p>
    <w:p>
      <w:pPr>
        <w:numPr>
          <w:ilvl w:val="0"/>
          <w:numId w:val="1003"/>
        </w:numPr>
        <w:pStyle w:val="Compact"/>
      </w:pPr>
      <w:r>
        <w:t xml:space="preserve">★★ 中国社会科学院考古研究所新疆队：《新疆温泉县呼斯塔遗址》发掘收获（《考古》/《西域研究》相关简报，2017–2019）。</w:t>
      </w:r>
    </w:p>
    <w:p>
      <w:pPr>
        <w:numPr>
          <w:ilvl w:val="0"/>
          <w:numId w:val="1003"/>
        </w:numPr>
        <w:pStyle w:val="Compact"/>
      </w:pPr>
      <w:r>
        <w:t xml:space="preserve">★★ 贾伟明：《史前游牧业的考古学探索——新疆博尔塔拉河流域的聚落考古》，《西域研究》2018 年第 3 期。</w:t>
      </w:r>
    </w:p>
    <w:p>
      <w:pPr>
        <w:numPr>
          <w:ilvl w:val="0"/>
          <w:numId w:val="1003"/>
        </w:numPr>
        <w:pStyle w:val="Compact"/>
      </w:pPr>
      <w:r>
        <w:t xml:space="preserve">★ 邵会秋：《新疆史前时期文化格局的演进及其与周邻地区文化的关系》，吉林大学博士学位论文，2007。</w:t>
      </w:r>
    </w:p>
    <w:bookmarkEnd w:id="22"/>
    <w:bookmarkEnd w:id="23"/>
    <w:bookmarkStart w:id="24" w:name="二理论与方法景观考古学"/>
    <w:p>
      <w:pPr>
        <w:pStyle w:val="Heading2"/>
      </w:pPr>
      <w:r>
        <w:t xml:space="preserve">二、理论与方法（景观考古学）</w:t>
      </w:r>
    </w:p>
    <w:p>
      <w:pPr>
        <w:numPr>
          <w:ilvl w:val="0"/>
          <w:numId w:val="1004"/>
        </w:numPr>
        <w:pStyle w:val="Compact"/>
      </w:pPr>
      <w:r>
        <w:t xml:space="preserve">★★★ Frachetti, M.D. 2008.</w:t>
      </w:r>
      <w:r>
        <w:t xml:space="preserve"> </w:t>
      </w:r>
      <w:r>
        <w:rPr>
          <w:iCs/>
          <w:i/>
        </w:rPr>
        <w:t xml:space="preserve">Pastoralist Landscapes and Social Interaction in Bronze Age Eurasia</w:t>
      </w:r>
      <w:r>
        <w:t xml:space="preserve">. Berkeley: University of California Press.（本研究最直接的理论与区域范本）</w:t>
      </w:r>
    </w:p>
    <w:p>
      <w:pPr>
        <w:numPr>
          <w:ilvl w:val="0"/>
          <w:numId w:val="1004"/>
        </w:numPr>
        <w:pStyle w:val="Compact"/>
      </w:pPr>
      <w:r>
        <w:t xml:space="preserve">★★★ Ingold, T. 1993. The temporality of the landscape.</w:t>
      </w:r>
      <w:r>
        <w:t xml:space="preserve"> </w:t>
      </w:r>
      <w:r>
        <w:rPr>
          <w:iCs/>
          <w:i/>
        </w:rPr>
        <w:t xml:space="preserve">World Archaeology</w:t>
      </w:r>
      <w:r>
        <w:t xml:space="preserve"> </w:t>
      </w:r>
      <w:r>
        <w:t xml:space="preserve">25(2): 152–174.（taskscape 概念出处）</w:t>
      </w:r>
    </w:p>
    <w:p>
      <w:pPr>
        <w:numPr>
          <w:ilvl w:val="0"/>
          <w:numId w:val="1004"/>
        </w:numPr>
        <w:pStyle w:val="Compact"/>
      </w:pPr>
      <w:r>
        <w:t xml:space="preserve">★★ Frachetti, M.D. 2012. Multiregional emergence of mobile pastoralism and nonuniform institutional complexity across Eurasia.</w:t>
      </w:r>
      <w:r>
        <w:t xml:space="preserve"> </w:t>
      </w:r>
      <w:r>
        <w:rPr>
          <w:iCs/>
          <w:i/>
        </w:rPr>
        <w:t xml:space="preserve">Current Anthropology</w:t>
      </w:r>
      <w:r>
        <w:t xml:space="preserve"> </w:t>
      </w:r>
      <w:r>
        <w:t xml:space="preserve">53(1): 2–38.</w:t>
      </w:r>
    </w:p>
    <w:p>
      <w:pPr>
        <w:numPr>
          <w:ilvl w:val="0"/>
          <w:numId w:val="1004"/>
        </w:numPr>
        <w:pStyle w:val="Compact"/>
      </w:pPr>
      <w:r>
        <w:t xml:space="preserve">★★ Anschuetz, K.F., Wilshusen, R.H. &amp; Scheick, C.L. 2001. An archaeology of landscapes: perspectives and directions.</w:t>
      </w:r>
      <w:r>
        <w:t xml:space="preserve"> </w:t>
      </w:r>
      <w:r>
        <w:rPr>
          <w:iCs/>
          <w:i/>
        </w:rPr>
        <w:t xml:space="preserve">Journal of Archaeological Research</w:t>
      </w:r>
      <w:r>
        <w:t xml:space="preserve"> </w:t>
      </w:r>
      <w:r>
        <w:t xml:space="preserve">9(2): 157–211.（景观考古综述，课程论文综述部分适用）</w:t>
      </w:r>
    </w:p>
    <w:p>
      <w:pPr>
        <w:numPr>
          <w:ilvl w:val="0"/>
          <w:numId w:val="1004"/>
        </w:numPr>
        <w:pStyle w:val="Compact"/>
      </w:pPr>
      <w:r>
        <w:t xml:space="preserve">★★ Murra, J.V. 1972. El</w:t>
      </w:r>
      <w:r>
        <w:t xml:space="preserve"> </w:t>
      </w:r>
      <w:r>
        <w:t xml:space="preserve">“</w:t>
      </w:r>
      <w:r>
        <w:t xml:space="preserve">control vertical</w:t>
      </w:r>
      <w:r>
        <w:t xml:space="preserve">”</w:t>
      </w:r>
      <w:r>
        <w:t xml:space="preserve"> </w:t>
      </w:r>
      <w:r>
        <w:t xml:space="preserve">de un máximo de pisos ecológicos…（安第斯”垂直群岛”模式；英文转述见 Van Buren 1996,</w:t>
      </w:r>
      <w:r>
        <w:t xml:space="preserve"> </w:t>
      </w:r>
      <w:r>
        <w:rPr>
          <w:iCs/>
          <w:i/>
        </w:rPr>
        <w:t xml:space="preserve">American Anthropologist</w:t>
      </w:r>
      <w:r>
        <w:t xml:space="preserve"> </w:t>
      </w:r>
      <w:r>
        <w:t xml:space="preserve">98(2)）</w:t>
      </w:r>
    </w:p>
    <w:p>
      <w:pPr>
        <w:numPr>
          <w:ilvl w:val="0"/>
          <w:numId w:val="1004"/>
        </w:numPr>
        <w:pStyle w:val="Compact"/>
      </w:pPr>
      <w:r>
        <w:t xml:space="preserve">★ Tilley, C. 1994.</w:t>
      </w:r>
      <w:r>
        <w:t xml:space="preserve"> </w:t>
      </w:r>
      <w:r>
        <w:rPr>
          <w:iCs/>
          <w:i/>
        </w:rPr>
        <w:t xml:space="preserve">A Phenomenology of Landscape</w:t>
      </w:r>
      <w:r>
        <w:t xml:space="preserve">. Oxford: Berg.（现象学路径，岩画讨论可引）</w:t>
      </w:r>
    </w:p>
    <w:p>
      <w:pPr>
        <w:numPr>
          <w:ilvl w:val="0"/>
          <w:numId w:val="1004"/>
        </w:numPr>
        <w:pStyle w:val="Compact"/>
      </w:pPr>
      <w:r>
        <w:t xml:space="preserve">★ 陈胜前：《景观考古学——理论、方法与实践》，《南方文物》2012 年第 2 期。（中文理论综述）</w:t>
      </w:r>
    </w:p>
    <w:bookmarkEnd w:id="24"/>
    <w:bookmarkStart w:id="25" w:name="三生业模式与区域综合"/>
    <w:p>
      <w:pPr>
        <w:pStyle w:val="Heading2"/>
      </w:pPr>
      <w:r>
        <w:t xml:space="preserve">三、生业模式与区域综合</w:t>
      </w:r>
    </w:p>
    <w:p>
      <w:pPr>
        <w:numPr>
          <w:ilvl w:val="0"/>
          <w:numId w:val="1005"/>
        </w:numPr>
        <w:pStyle w:val="Compact"/>
      </w:pPr>
      <w:r>
        <w:t xml:space="preserve">★★★ Spengler, R.N. 2019.</w:t>
      </w:r>
      <w:r>
        <w:t xml:space="preserve"> </w:t>
      </w:r>
      <w:r>
        <w:rPr>
          <w:iCs/>
          <w:i/>
        </w:rPr>
        <w:t xml:space="preserve">Fruit from the Sands: The Silk Road Origins of the Foods We Eat</w:t>
      </w:r>
      <w:r>
        <w:t xml:space="preserve">. Berkeley: UC Press.（或其 2015</w:t>
      </w:r>
      <w:r>
        <w:t xml:space="preserve"> </w:t>
      </w:r>
      <w:r>
        <w:rPr>
          <w:iCs/>
          <w:i/>
        </w:rPr>
        <w:t xml:space="preserve">J. World Prehistory</w:t>
      </w:r>
      <w:r>
        <w:t xml:space="preserve"> </w:t>
      </w:r>
      <w:r>
        <w:t xml:space="preserve">综述</w:t>
      </w:r>
      <w:r>
        <w:t xml:space="preserve"> </w:t>
      </w:r>
      <w:r>
        <w:t xml:space="preserve">“</w:t>
      </w:r>
      <w:r>
        <w:t xml:space="preserve">Agriculture in the Central Asian Bronze Age</w:t>
      </w:r>
      <w:r>
        <w:t xml:space="preserve">”</w:t>
      </w:r>
      <w:r>
        <w:t xml:space="preserve">——更适合引用）</w:t>
      </w:r>
    </w:p>
    <w:p>
      <w:pPr>
        <w:numPr>
          <w:ilvl w:val="0"/>
          <w:numId w:val="1005"/>
        </w:numPr>
        <w:pStyle w:val="Compact"/>
      </w:pPr>
      <w:r>
        <w:t xml:space="preserve">★★ Hermes, T.R., Frachetti, M.D., Doumani Dupuy, P.N., et al. 2019. Early integration of pastoralism and millet cultivation in Bronze Age Eurasia.</w:t>
      </w:r>
      <w:r>
        <w:t xml:space="preserve"> </w:t>
      </w:r>
      <w:r>
        <w:rPr>
          <w:iCs/>
          <w:i/>
        </w:rPr>
        <w:t xml:space="preserve">Proceedings of the Royal Society B</w:t>
      </w:r>
      <w:r>
        <w:t xml:space="preserve"> </w:t>
      </w:r>
      <w:r>
        <w:t xml:space="preserve">286: 20191273.（同位素证据）</w:t>
      </w:r>
    </w:p>
    <w:p>
      <w:pPr>
        <w:numPr>
          <w:ilvl w:val="0"/>
          <w:numId w:val="1005"/>
        </w:numPr>
        <w:pStyle w:val="Compact"/>
      </w:pPr>
      <w:r>
        <w:t xml:space="preserve">★★ Ventresca Miller, A.R. &amp; Makarewicz, C.A. 2019. Intensification in pastoralist cereal use coincides with the expansion of trans-regional networks in the Eurasian steppe.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 </w:t>
      </w:r>
      <w:r>
        <w:t xml:space="preserve">9: 8363.</w:t>
      </w:r>
    </w:p>
    <w:p>
      <w:pPr>
        <w:numPr>
          <w:ilvl w:val="0"/>
          <w:numId w:val="1005"/>
        </w:numPr>
        <w:pStyle w:val="Compact"/>
      </w:pPr>
      <w:r>
        <w:t xml:space="preserve">★ Кузьмина, Е.Е. 2008.</w:t>
      </w:r>
      <w:r>
        <w:t xml:space="preserve"> </w:t>
      </w:r>
      <w:r>
        <w:rPr>
          <w:iCs/>
          <w:i/>
        </w:rPr>
        <w:t xml:space="preserve">The Prehistory of the Silk Road</w:t>
      </w:r>
      <w:r>
        <w:t xml:space="preserve">. Philadelphia: UPenn Press.</w:t>
      </w:r>
    </w:p>
    <w:p>
      <w:pPr>
        <w:numPr>
          <w:ilvl w:val="0"/>
          <w:numId w:val="1005"/>
        </w:numPr>
        <w:pStyle w:val="Compact"/>
      </w:pPr>
      <w:r>
        <w:t xml:space="preserve">★ 杨建华、邵会秋、潘玲：《欧亚草原东部的金属之路》，上海古籍出版社，2016。</w:t>
      </w:r>
    </w:p>
    <w:bookmarkEnd w:id="25"/>
    <w:bookmarkStart w:id="26" w:name="四环境与古气候背景"/>
    <w:p>
      <w:pPr>
        <w:pStyle w:val="Heading2"/>
      </w:pPr>
      <w:r>
        <w:t xml:space="preserve">四、环境与古气候背景</w:t>
      </w:r>
    </w:p>
    <w:p>
      <w:pPr>
        <w:numPr>
          <w:ilvl w:val="0"/>
          <w:numId w:val="1006"/>
        </w:numPr>
        <w:pStyle w:val="Compact"/>
      </w:pPr>
      <w:r>
        <w:t xml:space="preserve">★★ Beer, R., Kaiser, F., Schmidt, K., et al. 2008. Vegetation history of the walnut forests in Kyrgyzstan (Central Asia).</w:t>
      </w:r>
      <w:r>
        <w:t xml:space="preserve"> </w:t>
      </w:r>
      <w:r>
        <w:rPr>
          <w:iCs/>
          <w:i/>
        </w:rPr>
        <w:t xml:space="preserve">Quaternary Science Reviews</w:t>
      </w:r>
      <w:r>
        <w:t xml:space="preserve"> </w:t>
      </w:r>
      <w:r>
        <w:t xml:space="preserve">27.（天山全新世植被）</w:t>
      </w:r>
    </w:p>
    <w:p>
      <w:pPr>
        <w:numPr>
          <w:ilvl w:val="0"/>
          <w:numId w:val="1006"/>
        </w:numPr>
        <w:pStyle w:val="Compact"/>
      </w:pPr>
      <w:r>
        <w:t xml:space="preserve">★ Mathis, C. et al. / Lauterbach, S. et al. 关于 Issyk-Kul、Son-Kol 湖芯的古气候研究（</w:t>
      </w:r>
      <w:r>
        <w:rPr>
          <w:iCs/>
          <w:i/>
        </w:rPr>
        <w:t xml:space="preserve">Quaternary International</w:t>
      </w:r>
      <w:r>
        <w:t xml:space="preserve"> </w:t>
      </w:r>
      <w:r>
        <w:t xml:space="preserve">等）。</w:t>
      </w:r>
    </w:p>
    <w:bookmarkEnd w:id="26"/>
    <w:bookmarkStart w:id="28" w:name="五数据库与可视化方法"/>
    <w:p>
      <w:pPr>
        <w:pStyle w:val="Heading2"/>
      </w:pPr>
      <w:r>
        <w:t xml:space="preserve">五、数据库与可视化方法</w:t>
      </w:r>
    </w:p>
    <w:p>
      <w:pPr>
        <w:numPr>
          <w:ilvl w:val="0"/>
          <w:numId w:val="1007"/>
        </w:numPr>
        <w:pStyle w:val="Compact"/>
      </w:pPr>
      <w:r>
        <w:t xml:space="preserve">★ Conolly, J. &amp; Lake, M. 2006.</w:t>
      </w:r>
      <w:r>
        <w:t xml:space="preserve"> </w:t>
      </w:r>
      <w:r>
        <w:rPr>
          <w:iCs/>
          <w:i/>
        </w:rPr>
        <w:t xml:space="preserve">Geographical Information Systems in Archaeology</w:t>
      </w:r>
      <w:r>
        <w:t xml:space="preserve">. Cambridge: CUP.（空间分析方法依据，论文方法部分引用）</w:t>
      </w:r>
    </w:p>
    <w:p>
      <w:r>
        <w:pict>
          <v:rect style="width:0;height:1.5pt" o:hralign="center" o:hrstd="t" o:hr="t"/>
        </w:pict>
      </w:r>
    </w:p>
    <w:bookmarkStart w:id="27" w:name="检索建议"/>
    <w:p>
      <w:pPr>
        <w:pStyle w:val="Heading3"/>
      </w:pPr>
      <w:r>
        <w:t xml:space="preserve">检索建议</w:t>
      </w:r>
    </w:p>
    <w:p>
      <w:pPr>
        <w:numPr>
          <w:ilvl w:val="0"/>
          <w:numId w:val="1008"/>
        </w:numPr>
        <w:pStyle w:val="Compact"/>
      </w:pPr>
      <w:r>
        <w:t xml:space="preserve">英文：Web of Science / Scopus 以</w:t>
      </w:r>
      <w:r>
        <w:t xml:space="preserve"> </w:t>
      </w:r>
      <w:r>
        <w:t xml:space="preserve">“</w:t>
      </w:r>
      <w:r>
        <w:t xml:space="preserve">Tien Shan Bronze Age</w:t>
      </w:r>
      <w:r>
        <w:t xml:space="preserve">”</w:t>
      </w:r>
      <w:r>
        <w:t xml:space="preserve">、</w:t>
      </w:r>
      <w:r>
        <w:t xml:space="preserve">“</w:t>
      </w:r>
      <w:r>
        <w:t xml:space="preserve">Semirechye pastoralism</w:t>
      </w:r>
      <w:r>
        <w:t xml:space="preserve">”</w:t>
      </w:r>
      <w:r>
        <w:t xml:space="preserve">、</w:t>
      </w:r>
      <w:r>
        <w:t xml:space="preserve">“</w:t>
      </w:r>
      <w:r>
        <w:t xml:space="preserve">Inner Asian Mountain Corridor</w:t>
      </w:r>
      <w:r>
        <w:t xml:space="preserve">”</w:t>
      </w:r>
      <w:r>
        <w:t xml:space="preserve"> </w:t>
      </w:r>
      <w:r>
        <w:t xml:space="preserve">检索；Frachetti、Motuzaite Matuzeviciute、Spengler、Doumani Dupuy 的 ResearchGate/Academia 页面可获大部分 PDF。</w:t>
      </w:r>
    </w:p>
    <w:p>
      <w:pPr>
        <w:numPr>
          <w:ilvl w:val="0"/>
          <w:numId w:val="1008"/>
        </w:numPr>
        <w:pStyle w:val="Compact"/>
      </w:pPr>
      <w:r>
        <w:t xml:space="preserve">俄语：eLibrary.ru、kronk.spb.ru（考古文献库）检索 «Семиречье бронзовый век»、«Тянь-Шань петроглифы»；哈萨克斯坦 Margulan 考古所、吉尔吉斯国家科学院出版物。</w:t>
      </w:r>
    </w:p>
    <w:p>
      <w:pPr>
        <w:numPr>
          <w:ilvl w:val="0"/>
          <w:numId w:val="1008"/>
        </w:numPr>
        <w:pStyle w:val="Compact"/>
      </w:pPr>
      <w:r>
        <w:t xml:space="preserve">中文：CNKI 检索”阿敦乔鲁”</w:t>
      </w:r>
      <w:r>
        <w:t xml:space="preserve">“</w:t>
      </w:r>
      <w:r>
        <w:t xml:space="preserve">呼斯塔</w:t>
      </w:r>
      <w:r>
        <w:t xml:space="preserve">”</w:t>
      </w:r>
      <w:r>
        <w:t xml:space="preserve">“</w:t>
      </w:r>
      <w:r>
        <w:t xml:space="preserve">博尔塔拉 青铜时代</w:t>
      </w:r>
      <w:r>
        <w:t xml:space="preserve">”</w:t>
      </w:r>
      <w:r>
        <w:t xml:space="preserve">“</w:t>
      </w:r>
      <w:r>
        <w:t xml:space="preserve">天山 生业</w:t>
      </w:r>
      <w:r>
        <w:t xml:space="preserve">”</w:t>
      </w:r>
      <w:r>
        <w:t xml:space="preserve">。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2026-06-10T11:22:53Z</dcterms:created>
  <dcterms:modified xsi:type="dcterms:W3CDTF">2026-06-10T11:22:53Z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