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Noto Sans CJK SC" w:hAnsi="Noto Sans CJK SC" w:eastAsia="Noto Sans CJK SC"/>
          <w:b/>
          <w:color w:val="1F4E79"/>
          <w:sz w:val="30"/>
        </w:rPr>
        <w:t>第二届星瀚杯</w:t>
        <w:br/>
        <w:t>全国大学生法律 AI 应用创新挑战赛</w:t>
      </w:r>
    </w:p>
    <w:p>
      <w:pPr>
        <w:spacing w:before="520"/>
        <w:jc w:val="center"/>
      </w:pPr>
      <w:r>
        <w:rPr>
          <w:rFonts w:ascii="Noto Sans CJK SC" w:hAnsi="Noto Sans CJK SC" w:eastAsia="Noto Sans CJK SC"/>
          <w:b/>
          <w:color w:val="1F4E79"/>
          <w:sz w:val="56"/>
        </w:rPr>
        <w:t>TradeLaw AI</w:t>
      </w:r>
    </w:p>
    <w:p>
      <w:pPr>
        <w:jc w:val="center"/>
      </w:pPr>
      <w:r>
        <w:rPr>
          <w:rFonts w:ascii="Noto Sans CJK SC" w:hAnsi="Noto Sans CJK SC" w:eastAsia="Noto Sans CJK SC"/>
          <w:b/>
          <w:sz w:val="36"/>
        </w:rPr>
        <w:t>面向东南亚外贸订单的法律风险协作工作台</w:t>
      </w:r>
    </w:p>
    <w:p>
      <w:pPr>
        <w:jc w:val="center"/>
      </w:pPr>
      <w:r>
        <w:rPr>
          <w:rFonts w:ascii="Noto Sans CJK SC" w:hAnsi="Noto Sans CJK SC" w:eastAsia="Noto Sans CJK SC"/>
          <w:color w:val="505050"/>
          <w:sz w:val="25"/>
        </w:rPr>
        <w:t>初赛创意方案｜MVP 聚焦优化版</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61"/>
        <w:gridCol w:w="4961"/>
      </w:tblGrid>
      <w:tr>
        <w:tc>
          <w:tcPr>
            <w:tcW w:type="dxa" w:w="1984"/>
            <w:shd w:fill="D9EAF7"/>
            <w:vAlign w:val="center"/>
          </w:tcPr>
          <w:p>
            <w:pPr>
              <w:spacing w:after="0" w:line="269" w:lineRule="auto"/>
              <w:jc w:val="center"/>
            </w:pPr>
            <w:r/>
            <w:r>
              <w:rPr>
                <w:rFonts w:ascii="Noto Sans CJK SC" w:hAnsi="Noto Sans CJK SC" w:eastAsia="Noto Sans CJK SC"/>
                <w:b/>
                <w:color w:val="1F4E79"/>
                <w:sz w:val="19"/>
              </w:rPr>
              <w:t>项目</w:t>
            </w:r>
          </w:p>
        </w:tc>
        <w:tc>
          <w:tcPr>
            <w:tcW w:type="dxa" w:w="7654"/>
            <w:shd w:fill="D9EAF7"/>
            <w:vAlign w:val="center"/>
          </w:tcPr>
          <w:p>
            <w:pPr>
              <w:spacing w:after="0" w:line="269" w:lineRule="auto"/>
              <w:jc w:val="center"/>
            </w:pPr>
            <w:r/>
            <w:r>
              <w:rPr>
                <w:rFonts w:ascii="Noto Sans CJK SC" w:hAnsi="Noto Sans CJK SC" w:eastAsia="Noto Sans CJK SC"/>
                <w:b/>
                <w:color w:val="1F4E79"/>
                <w:sz w:val="19"/>
              </w:rPr>
              <w:t>优化后表述</w:t>
            </w:r>
          </w:p>
        </w:tc>
      </w:tr>
      <w:tr>
        <w:tc>
          <w:tcPr>
            <w:tcW w:type="dxa" w:w="1984"/>
            <w:shd w:fill="F2F6FA"/>
            <w:vAlign w:val="center"/>
          </w:tcPr>
          <w:p>
            <w:pPr>
              <w:spacing w:after="0" w:line="269" w:lineRule="auto"/>
            </w:pPr>
            <w:r/>
            <w:r>
              <w:rPr>
                <w:rFonts w:ascii="Noto Sans CJK SC" w:hAnsi="Noto Sans CJK SC" w:eastAsia="Noto Sans CJK SC"/>
                <w:b/>
                <w:sz w:val="19"/>
              </w:rPr>
              <w:t>项目一句话定位</w:t>
            </w:r>
          </w:p>
        </w:tc>
        <w:tc>
          <w:tcPr>
            <w:tcW w:type="dxa" w:w="7654"/>
            <w:vAlign w:val="center"/>
          </w:tcPr>
          <w:p>
            <w:pPr>
              <w:spacing w:after="0" w:line="269" w:lineRule="auto"/>
            </w:pPr>
            <w:r/>
            <w:r>
              <w:rPr>
                <w:rFonts w:ascii="Noto Sans CJK SC" w:hAnsi="Noto Sans CJK SC" w:eastAsia="Noto Sans CJK SC"/>
                <w:b w:val="0"/>
                <w:sz w:val="19"/>
              </w:rPr>
              <w:t>面向中国中小外贸企业出口东南亚的订单场景，TradeLaw AI 以 Web 平台为主，帮助业务员在签约前审查合同、PO、PI，在履约中保存关键证据，在高风险节点交给法务或律师复核，并导出可读的风险报告。</w:t>
            </w:r>
          </w:p>
        </w:tc>
      </w:tr>
      <w:tr>
        <w:tc>
          <w:tcPr>
            <w:tcW w:type="dxa" w:w="1984"/>
            <w:shd w:fill="F2F6FA"/>
            <w:vAlign w:val="center"/>
          </w:tcPr>
          <w:p>
            <w:pPr>
              <w:spacing w:after="0" w:line="269" w:lineRule="auto"/>
            </w:pPr>
            <w:r/>
            <w:r>
              <w:rPr>
                <w:rFonts w:ascii="Noto Sans CJK SC" w:hAnsi="Noto Sans CJK SC" w:eastAsia="Noto Sans CJK SC"/>
                <w:b/>
                <w:sz w:val="19"/>
              </w:rPr>
              <w:t>核心闭环</w:t>
            </w:r>
          </w:p>
        </w:tc>
        <w:tc>
          <w:tcPr>
            <w:tcW w:type="dxa" w:w="7654"/>
            <w:vAlign w:val="center"/>
          </w:tcPr>
          <w:p>
            <w:pPr>
              <w:spacing w:after="0" w:line="269" w:lineRule="auto"/>
            </w:pPr>
            <w:r/>
            <w:r>
              <w:rPr>
                <w:rFonts w:ascii="Noto Sans CJK SC" w:hAnsi="Noto Sans CJK SC" w:eastAsia="Noto Sans CJK SC"/>
                <w:b w:val="0"/>
                <w:sz w:val="19"/>
              </w:rPr>
              <w:t>订单建档 / 案例导入 → 合同、PO、PI 风险审查 → 履约留痕与证据缺口提醒 → 人工复核 → 报告导出与企业规则沉淀。</w:t>
            </w:r>
          </w:p>
        </w:tc>
      </w:tr>
      <w:tr>
        <w:tc>
          <w:tcPr>
            <w:tcW w:type="dxa" w:w="1984"/>
            <w:shd w:fill="F2F6FA"/>
            <w:vAlign w:val="center"/>
          </w:tcPr>
          <w:p>
            <w:pPr>
              <w:spacing w:after="0" w:line="269" w:lineRule="auto"/>
            </w:pPr>
            <w:r/>
            <w:r>
              <w:rPr>
                <w:rFonts w:ascii="Noto Sans CJK SC" w:hAnsi="Noto Sans CJK SC" w:eastAsia="Noto Sans CJK SC"/>
                <w:b/>
                <w:sz w:val="19"/>
              </w:rPr>
              <w:t>MVP 边界</w:t>
            </w:r>
          </w:p>
        </w:tc>
        <w:tc>
          <w:tcPr>
            <w:tcW w:type="dxa" w:w="7654"/>
            <w:vAlign w:val="center"/>
          </w:tcPr>
          <w:p>
            <w:pPr>
              <w:spacing w:after="0" w:line="269" w:lineRule="auto"/>
            </w:pPr>
            <w:r/>
            <w:r>
              <w:rPr>
                <w:rFonts w:ascii="Noto Sans CJK SC" w:hAnsi="Noto Sans CJK SC" w:eastAsia="Noto Sans CJK SC"/>
                <w:b w:val="0"/>
                <w:sz w:val="19"/>
              </w:rPr>
              <w:t>第一阶段不承诺实时客户信用判断，不深度接入真实 CRM、ERP 或聊天平台，不输出多国正式本地法律意见；重点做出可演示、可复核、可导出的订单风险协作闭环。</w:t>
            </w:r>
          </w:p>
        </w:tc>
      </w:tr>
    </w:tbl>
    <w:p>
      <w:pPr>
        <w:spacing w:after="40"/>
      </w:pPr>
    </w:p>
    <w:p>
      <w:pPr>
        <w:spacing w:before="200"/>
        <w:jc w:val="center"/>
      </w:pPr>
      <w:r>
        <w:rPr>
          <w:rFonts w:ascii="Noto Sans CJK SC" w:hAnsi="Noto Sans CJK SC" w:eastAsia="Noto Sans CJK SC"/>
          <w:color w:val="505050"/>
          <w:sz w:val="19"/>
        </w:rPr>
        <w:t>版本说明：本版从“外贸订单全流程法律 AI 工具”收敛为“东南亚外贸订单法律风险协作工作台”，强化 MVP 可实现性、东南亚个性化、规则来源可追溯和合规边界。</w:t>
      </w:r>
      <w:r>
        <w:br w:type="page"/>
      </w:r>
    </w:p>
    <w:p>
      <w:pPr>
        <w:pStyle w:val="Heading1"/>
        <w:spacing w:before="200" w:after="80"/>
      </w:pPr>
      <w:r>
        <w:rPr>
          <w:rFonts w:ascii="Noto Sans CJK SC" w:hAnsi="Noto Sans CJK SC" w:eastAsia="Noto Sans CJK SC"/>
          <w:b/>
          <w:color w:val="1F4E79"/>
          <w:sz w:val="30"/>
        </w:rPr>
        <w:t>目录</w:t>
      </w:r>
    </w:p>
    <w:p>
      <w:pPr>
        <w:pStyle w:val="ListBullet"/>
        <w:spacing w:after="40" w:line="276" w:lineRule="auto"/>
        <w:ind w:left="340"/>
      </w:pPr>
      <w:r>
        <w:rPr>
          <w:rFonts w:ascii="Noto Sans CJK SC" w:hAnsi="Noto Sans CJK SC" w:eastAsia="Noto Sans CJK SC"/>
          <w:sz w:val="20"/>
        </w:rPr>
        <w:t>一、优化总览：从完整蓝图收敛为 MVP 闭环</w:t>
      </w:r>
    </w:p>
    <w:p>
      <w:pPr>
        <w:pStyle w:val="ListBullet"/>
        <w:spacing w:after="40" w:line="276" w:lineRule="auto"/>
        <w:ind w:left="340"/>
      </w:pPr>
      <w:r>
        <w:rPr>
          <w:rFonts w:ascii="Noto Sans CJK SC" w:hAnsi="Noto Sans CJK SC" w:eastAsia="Noto Sans CJK SC"/>
          <w:sz w:val="20"/>
        </w:rPr>
        <w:t>二、创意名称、项目愿景与目标市场</w:t>
      </w:r>
    </w:p>
    <w:p>
      <w:pPr>
        <w:pStyle w:val="ListBullet"/>
        <w:spacing w:after="40" w:line="276" w:lineRule="auto"/>
        <w:ind w:left="340"/>
      </w:pPr>
      <w:r>
        <w:rPr>
          <w:rFonts w:ascii="Noto Sans CJK SC" w:hAnsi="Noto Sans CJK SC" w:eastAsia="Noto Sans CJK SC"/>
          <w:sz w:val="20"/>
        </w:rPr>
        <w:t>三、目标用户与核心场景</w:t>
      </w:r>
    </w:p>
    <w:p>
      <w:pPr>
        <w:pStyle w:val="ListBullet"/>
        <w:spacing w:after="40" w:line="276" w:lineRule="auto"/>
        <w:ind w:left="340"/>
      </w:pPr>
      <w:r>
        <w:rPr>
          <w:rFonts w:ascii="Noto Sans CJK SC" w:hAnsi="Noto Sans CJK SC" w:eastAsia="Noto Sans CJK SC"/>
          <w:sz w:val="20"/>
        </w:rPr>
        <w:t>四、产品功能设计：一个订单空间、四个核心动作、两个扩展方向</w:t>
      </w:r>
    </w:p>
    <w:p>
      <w:pPr>
        <w:pStyle w:val="ListBullet"/>
        <w:spacing w:after="40" w:line="276" w:lineRule="auto"/>
        <w:ind w:left="340"/>
      </w:pPr>
      <w:r>
        <w:rPr>
          <w:rFonts w:ascii="Noto Sans CJK SC" w:hAnsi="Noto Sans CJK SC" w:eastAsia="Noto Sans CJK SC"/>
          <w:sz w:val="20"/>
        </w:rPr>
        <w:t>五、MVP 设计与案例导入方案</w:t>
      </w:r>
    </w:p>
    <w:p>
      <w:pPr>
        <w:pStyle w:val="ListBullet"/>
        <w:spacing w:after="40" w:line="276" w:lineRule="auto"/>
        <w:ind w:left="340"/>
      </w:pPr>
      <w:r>
        <w:rPr>
          <w:rFonts w:ascii="Noto Sans CJK SC" w:hAnsi="Noto Sans CJK SC" w:eastAsia="Noto Sans CJK SC"/>
          <w:sz w:val="20"/>
        </w:rPr>
        <w:t>六、风险规则库初始化方法</w:t>
      </w:r>
    </w:p>
    <w:p>
      <w:pPr>
        <w:pStyle w:val="ListBullet"/>
        <w:spacing w:after="40" w:line="276" w:lineRule="auto"/>
        <w:ind w:left="340"/>
      </w:pPr>
      <w:r>
        <w:rPr>
          <w:rFonts w:ascii="Noto Sans CJK SC" w:hAnsi="Noto Sans CJK SC" w:eastAsia="Noto Sans CJK SC"/>
          <w:sz w:val="20"/>
        </w:rPr>
        <w:t>七、技术路径与 Web 平台实现方案</w:t>
      </w:r>
    </w:p>
    <w:p>
      <w:pPr>
        <w:pStyle w:val="ListBullet"/>
        <w:spacing w:after="40" w:line="276" w:lineRule="auto"/>
        <w:ind w:left="340"/>
      </w:pPr>
      <w:r>
        <w:rPr>
          <w:rFonts w:ascii="Noto Sans CJK SC" w:hAnsi="Noto Sans CJK SC" w:eastAsia="Noto Sans CJK SC"/>
          <w:sz w:val="20"/>
        </w:rPr>
        <w:t>八、风险边界与合规设计：四道防线</w:t>
      </w:r>
    </w:p>
    <w:p>
      <w:pPr>
        <w:pStyle w:val="ListBullet"/>
        <w:spacing w:after="40" w:line="276" w:lineRule="auto"/>
        <w:ind w:left="340"/>
      </w:pPr>
      <w:r>
        <w:rPr>
          <w:rFonts w:ascii="Noto Sans CJK SC" w:hAnsi="Noto Sans CJK SC" w:eastAsia="Noto Sans CJK SC"/>
          <w:sz w:val="20"/>
        </w:rPr>
        <w:t>九、预期价值</w:t>
      </w:r>
    </w:p>
    <w:p>
      <w:pPr>
        <w:pStyle w:val="ListBullet"/>
        <w:spacing w:after="40" w:line="276" w:lineRule="auto"/>
        <w:ind w:left="340"/>
      </w:pPr>
      <w:r>
        <w:rPr>
          <w:rFonts w:ascii="Noto Sans CJK SC" w:hAnsi="Noto Sans CJK SC" w:eastAsia="Noto Sans CJK SC"/>
          <w:sz w:val="20"/>
        </w:rPr>
        <w:t>十、成本投入、开发计划与人员分工</w:t>
      </w:r>
    </w:p>
    <w:p>
      <w:pPr>
        <w:pStyle w:val="ListBullet"/>
        <w:spacing w:after="40" w:line="276" w:lineRule="auto"/>
        <w:ind w:left="340"/>
      </w:pPr>
      <w:r>
        <w:rPr>
          <w:rFonts w:ascii="Noto Sans CJK SC" w:hAnsi="Noto Sans CJK SC" w:eastAsia="Noto Sans CJK SC"/>
          <w:sz w:val="20"/>
        </w:rPr>
        <w:t>十一、发展潜力与商业化路径</w:t>
      </w:r>
    </w:p>
    <w:p>
      <w:pPr>
        <w:pStyle w:val="ListBullet"/>
        <w:spacing w:after="40" w:line="276" w:lineRule="auto"/>
        <w:ind w:left="340"/>
      </w:pPr>
      <w:r>
        <w:rPr>
          <w:rFonts w:ascii="Noto Sans CJK SC" w:hAnsi="Noto Sans CJK SC" w:eastAsia="Noto Sans CJK SC"/>
          <w:sz w:val="20"/>
        </w:rPr>
        <w:t>十二、需求验证与展示方案</w:t>
      </w:r>
    </w:p>
    <w:p>
      <w:pPr>
        <w:pStyle w:val="ListBullet"/>
        <w:spacing w:after="40" w:line="276" w:lineRule="auto"/>
        <w:ind w:left="340"/>
      </w:pPr>
      <w:r>
        <w:rPr>
          <w:rFonts w:ascii="Noto Sans CJK SC" w:hAnsi="Noto Sans CJK SC" w:eastAsia="Noto Sans CJK SC"/>
          <w:sz w:val="20"/>
        </w:rPr>
        <w:t>十三、样例报告摘要</w:t>
      </w:r>
    </w:p>
    <w:p>
      <w:pPr>
        <w:pStyle w:val="ListBullet"/>
        <w:spacing w:after="40" w:line="276" w:lineRule="auto"/>
        <w:ind w:left="340"/>
      </w:pPr>
      <w:r>
        <w:rPr>
          <w:rFonts w:ascii="Noto Sans CJK SC" w:hAnsi="Noto Sans CJK SC" w:eastAsia="Noto Sans CJK SC"/>
          <w:sz w:val="20"/>
        </w:rPr>
        <w:t>十四、总结</w:t>
      </w:r>
    </w:p>
    <w:p>
      <w:pPr>
        <w:pStyle w:val="ListBullet"/>
        <w:spacing w:after="40" w:line="276" w:lineRule="auto"/>
        <w:ind w:left="340"/>
      </w:pPr>
      <w:r>
        <w:rPr>
          <w:rFonts w:ascii="Noto Sans CJK SC" w:hAnsi="Noto Sans CJK SC" w:eastAsia="Noto Sans CJK SC"/>
          <w:sz w:val="20"/>
        </w:rPr>
        <w:t>附：参考依据与资料来源</w:t>
      </w:r>
    </w:p>
    <w:p>
      <w:pPr>
        <w:pStyle w:val="Heading1"/>
        <w:spacing w:before="200" w:after="80"/>
      </w:pPr>
      <w:r>
        <w:rPr>
          <w:rFonts w:ascii="Noto Sans CJK SC" w:hAnsi="Noto Sans CJK SC" w:eastAsia="Noto Sans CJK SC"/>
          <w:b/>
          <w:color w:val="1F4E79"/>
          <w:sz w:val="30"/>
        </w:rPr>
        <w:t>一、优化总览：从完整蓝图收敛为 MVP 闭环</w:t>
      </w:r>
    </w:p>
    <w:p>
      <w:pPr>
        <w:spacing w:after="100" w:line="283" w:lineRule="auto"/>
        <w:ind w:firstLine="420"/>
      </w:pPr>
      <w:r>
        <w:rPr>
          <w:rFonts w:ascii="Noto Sans CJK SC" w:hAnsi="Noto Sans CJK SC" w:eastAsia="Noto Sans CJK SC"/>
          <w:sz w:val="21"/>
        </w:rPr>
        <w:t>原方案已经覆盖客户初筛、合同审查、履约提醒、证据链整理、AI Skill、API、CRM/ERP 接入和商业化扩展，内容较完整，但初赛阶段更需要一个边界清晰、能讲清楚、能做出 Demo 的核心闭环。优化后的方案不再追求一次性覆盖所有外贸法律场景，而是把主线收敛为“东南亚外贸订单签约与履约中的法律风险协作”。</w:t>
      </w:r>
    </w:p>
    <w:p>
      <w:pPr>
        <w:spacing w:after="100" w:line="283" w:lineRule="auto"/>
        <w:ind w:firstLine="420"/>
      </w:pPr>
      <w:r>
        <w:rPr>
          <w:rFonts w:ascii="Noto Sans CJK SC" w:hAnsi="Noto Sans CJK SC" w:eastAsia="Noto Sans CJK SC"/>
          <w:sz w:val="21"/>
        </w:rPr>
        <w:t>本版方案将“履约过程风险提醒”和“争议证据链整理”合并为“履约留痕与争议证据包”，将客户风险初筛降级为二期扩展能力，将 Web 平台设定为 MVP 主产品，把 Skill 和 API 作为后续扩展入口和能力封装方式。</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14"/>
            <w:shd w:fill="D9EAF7"/>
            <w:vAlign w:val="center"/>
          </w:tcPr>
          <w:p>
            <w:pPr>
              <w:spacing w:after="0" w:line="269" w:lineRule="auto"/>
              <w:jc w:val="center"/>
            </w:pPr>
            <w:r/>
            <w:r>
              <w:rPr>
                <w:rFonts w:ascii="Noto Sans CJK SC" w:hAnsi="Noto Sans CJK SC" w:eastAsia="Noto Sans CJK SC"/>
                <w:b/>
                <w:color w:val="1F4E79"/>
                <w:sz w:val="17"/>
              </w:rPr>
              <w:t>优化项</w:t>
            </w:r>
          </w:p>
        </w:tc>
        <w:tc>
          <w:tcPr>
            <w:tcW w:type="dxa" w:w="3969"/>
            <w:shd w:fill="D9EAF7"/>
            <w:vAlign w:val="center"/>
          </w:tcPr>
          <w:p>
            <w:pPr>
              <w:spacing w:after="0" w:line="269" w:lineRule="auto"/>
              <w:jc w:val="center"/>
            </w:pPr>
            <w:r/>
            <w:r>
              <w:rPr>
                <w:rFonts w:ascii="Noto Sans CJK SC" w:hAnsi="Noto Sans CJK SC" w:eastAsia="Noto Sans CJK SC"/>
                <w:b/>
                <w:color w:val="1F4E79"/>
                <w:sz w:val="17"/>
              </w:rPr>
              <w:t>原方案容易出现的问题</w:t>
            </w:r>
          </w:p>
        </w:tc>
        <w:tc>
          <w:tcPr>
            <w:tcW w:type="dxa" w:w="3969"/>
            <w:shd w:fill="D9EAF7"/>
            <w:vAlign w:val="center"/>
          </w:tcPr>
          <w:p>
            <w:pPr>
              <w:spacing w:after="0" w:line="269" w:lineRule="auto"/>
              <w:jc w:val="center"/>
            </w:pPr>
            <w:r/>
            <w:r>
              <w:rPr>
                <w:rFonts w:ascii="Noto Sans CJK SC" w:hAnsi="Noto Sans CJK SC" w:eastAsia="Noto Sans CJK SC"/>
                <w:b/>
                <w:color w:val="1F4E79"/>
                <w:sz w:val="17"/>
              </w:rPr>
              <w:t>优化后处理方式</w:t>
            </w:r>
          </w:p>
        </w:tc>
      </w:tr>
      <w:tr>
        <w:tc>
          <w:tcPr>
            <w:tcW w:type="dxa" w:w="1814"/>
            <w:shd w:fill="F2F6FA"/>
            <w:vAlign w:val="center"/>
          </w:tcPr>
          <w:p>
            <w:pPr>
              <w:spacing w:after="0" w:line="269" w:lineRule="auto"/>
            </w:pPr>
            <w:r/>
            <w:r>
              <w:rPr>
                <w:rFonts w:ascii="Noto Sans CJK SC" w:hAnsi="Noto Sans CJK SC" w:eastAsia="Noto Sans CJK SC"/>
                <w:b/>
                <w:sz w:val="17"/>
              </w:rPr>
              <w:t>项目定位</w:t>
            </w:r>
          </w:p>
        </w:tc>
        <w:tc>
          <w:tcPr>
            <w:tcW w:type="dxa" w:w="3969"/>
            <w:vAlign w:val="center"/>
          </w:tcPr>
          <w:p>
            <w:pPr>
              <w:spacing w:after="0" w:line="269" w:lineRule="auto"/>
            </w:pPr>
            <w:r/>
            <w:r>
              <w:rPr>
                <w:rFonts w:ascii="Noto Sans CJK SC" w:hAnsi="Noto Sans CJK SC" w:eastAsia="Noto Sans CJK SC"/>
                <w:b w:val="0"/>
                <w:sz w:val="17"/>
              </w:rPr>
              <w:t>外贸订单全流程法律 AI 工具，范围较大。</w:t>
            </w:r>
          </w:p>
        </w:tc>
        <w:tc>
          <w:tcPr>
            <w:tcW w:type="dxa" w:w="3969"/>
            <w:vAlign w:val="center"/>
          </w:tcPr>
          <w:p>
            <w:pPr>
              <w:spacing w:after="0" w:line="269" w:lineRule="auto"/>
            </w:pPr>
            <w:r/>
            <w:r>
              <w:rPr>
                <w:rFonts w:ascii="Noto Sans CJK SC" w:hAnsi="Noto Sans CJK SC" w:eastAsia="Noto Sans CJK SC"/>
                <w:b w:val="0"/>
                <w:sz w:val="17"/>
              </w:rPr>
              <w:t>收敛为“面向东南亚外贸订单的法律风险协作工作台”。</w:t>
            </w:r>
          </w:p>
        </w:tc>
      </w:tr>
      <w:tr>
        <w:tc>
          <w:tcPr>
            <w:tcW w:type="dxa" w:w="1814"/>
            <w:shd w:fill="F2F6FA"/>
            <w:vAlign w:val="center"/>
          </w:tcPr>
          <w:p>
            <w:pPr>
              <w:spacing w:after="0" w:line="269" w:lineRule="auto"/>
            </w:pPr>
            <w:r/>
            <w:r>
              <w:rPr>
                <w:rFonts w:ascii="Noto Sans CJK SC" w:hAnsi="Noto Sans CJK SC" w:eastAsia="Noto Sans CJK SC"/>
                <w:b/>
                <w:sz w:val="17"/>
              </w:rPr>
              <w:t>产品形态</w:t>
            </w:r>
          </w:p>
        </w:tc>
        <w:tc>
          <w:tcPr>
            <w:tcW w:type="dxa" w:w="3969"/>
            <w:vAlign w:val="center"/>
          </w:tcPr>
          <w:p>
            <w:pPr>
              <w:spacing w:after="0" w:line="269" w:lineRule="auto"/>
            </w:pPr>
            <w:r/>
            <w:r>
              <w:rPr>
                <w:rFonts w:ascii="Noto Sans CJK SC" w:hAnsi="Noto Sans CJK SC" w:eastAsia="Noto Sans CJK SC"/>
                <w:b w:val="0"/>
                <w:sz w:val="17"/>
              </w:rPr>
              <w:t>Web、Skill、API、企业插件并列，容易被理解为同时开发多类产品。</w:t>
            </w:r>
          </w:p>
        </w:tc>
        <w:tc>
          <w:tcPr>
            <w:tcW w:type="dxa" w:w="3969"/>
            <w:vAlign w:val="center"/>
          </w:tcPr>
          <w:p>
            <w:pPr>
              <w:spacing w:after="0" w:line="269" w:lineRule="auto"/>
            </w:pPr>
            <w:r/>
            <w:r>
              <w:rPr>
                <w:rFonts w:ascii="Noto Sans CJK SC" w:hAnsi="Noto Sans CJK SC" w:eastAsia="Noto Sans CJK SC"/>
                <w:b w:val="0"/>
                <w:sz w:val="17"/>
              </w:rPr>
              <w:t>MVP 以 Web 工作台为主；Skill 是未来对话式入口，API 是后端能力封装和企业系统接入方式。</w:t>
            </w:r>
          </w:p>
        </w:tc>
      </w:tr>
      <w:tr>
        <w:tc>
          <w:tcPr>
            <w:tcW w:type="dxa" w:w="1814"/>
            <w:shd w:fill="F2F6FA"/>
            <w:vAlign w:val="center"/>
          </w:tcPr>
          <w:p>
            <w:pPr>
              <w:spacing w:after="0" w:line="269" w:lineRule="auto"/>
            </w:pPr>
            <w:r/>
            <w:r>
              <w:rPr>
                <w:rFonts w:ascii="Noto Sans CJK SC" w:hAnsi="Noto Sans CJK SC" w:eastAsia="Noto Sans CJK SC"/>
                <w:b/>
                <w:sz w:val="17"/>
              </w:rPr>
              <w:t>履约与证据</w:t>
            </w:r>
          </w:p>
        </w:tc>
        <w:tc>
          <w:tcPr>
            <w:tcW w:type="dxa" w:w="3969"/>
            <w:vAlign w:val="center"/>
          </w:tcPr>
          <w:p>
            <w:pPr>
              <w:spacing w:after="0" w:line="269" w:lineRule="auto"/>
            </w:pPr>
            <w:r/>
            <w:r>
              <w:rPr>
                <w:rFonts w:ascii="Noto Sans CJK SC" w:hAnsi="Noto Sans CJK SC" w:eastAsia="Noto Sans CJK SC"/>
                <w:b w:val="0"/>
                <w:sz w:val="17"/>
              </w:rPr>
              <w:t>“履约风险提醒”和“证据链整理”材料高度重合。</w:t>
            </w:r>
          </w:p>
        </w:tc>
        <w:tc>
          <w:tcPr>
            <w:tcW w:type="dxa" w:w="3969"/>
            <w:vAlign w:val="center"/>
          </w:tcPr>
          <w:p>
            <w:pPr>
              <w:spacing w:after="0" w:line="269" w:lineRule="auto"/>
            </w:pPr>
            <w:r/>
            <w:r>
              <w:rPr>
                <w:rFonts w:ascii="Noto Sans CJK SC" w:hAnsi="Noto Sans CJK SC" w:eastAsia="Noto Sans CJK SC"/>
                <w:b w:val="0"/>
                <w:sz w:val="17"/>
              </w:rPr>
              <w:t>合并为“履约留痕与争议证据包”，形成从日常留痕到争议导出的连续流程。</w:t>
            </w:r>
          </w:p>
        </w:tc>
      </w:tr>
      <w:tr>
        <w:tc>
          <w:tcPr>
            <w:tcW w:type="dxa" w:w="1814"/>
            <w:shd w:fill="F2F6FA"/>
            <w:vAlign w:val="center"/>
          </w:tcPr>
          <w:p>
            <w:pPr>
              <w:spacing w:after="0" w:line="269" w:lineRule="auto"/>
            </w:pPr>
            <w:r/>
            <w:r>
              <w:rPr>
                <w:rFonts w:ascii="Noto Sans CJK SC" w:hAnsi="Noto Sans CJK SC" w:eastAsia="Noto Sans CJK SC"/>
                <w:b/>
                <w:sz w:val="17"/>
              </w:rPr>
              <w:t>客户初筛</w:t>
            </w:r>
          </w:p>
        </w:tc>
        <w:tc>
          <w:tcPr>
            <w:tcW w:type="dxa" w:w="3969"/>
            <w:vAlign w:val="center"/>
          </w:tcPr>
          <w:p>
            <w:pPr>
              <w:spacing w:after="0" w:line="269" w:lineRule="auto"/>
            </w:pPr>
            <w:r/>
            <w:r>
              <w:rPr>
                <w:rFonts w:ascii="Noto Sans CJK SC" w:hAnsi="Noto Sans CJK SC" w:eastAsia="Noto Sans CJK SC"/>
                <w:b w:val="0"/>
                <w:sz w:val="17"/>
              </w:rPr>
              <w:t>依赖企业信息库、制裁名单、负面舆情、内部黑名单等数据源，MVP 难以真实验证。</w:t>
            </w:r>
          </w:p>
        </w:tc>
        <w:tc>
          <w:tcPr>
            <w:tcW w:type="dxa" w:w="3969"/>
            <w:vAlign w:val="center"/>
          </w:tcPr>
          <w:p>
            <w:pPr>
              <w:spacing w:after="0" w:line="269" w:lineRule="auto"/>
            </w:pPr>
            <w:r/>
            <w:r>
              <w:rPr>
                <w:rFonts w:ascii="Noto Sans CJK SC" w:hAnsi="Noto Sans CJK SC" w:eastAsia="Noto Sans CJK SC"/>
                <w:b w:val="0"/>
                <w:sz w:val="17"/>
              </w:rPr>
              <w:t>作为二期扩展能力；MVP 仅提供基础核验清单和模拟案例，不承诺实时客户信用判断。</w:t>
            </w:r>
          </w:p>
        </w:tc>
      </w:tr>
      <w:tr>
        <w:tc>
          <w:tcPr>
            <w:tcW w:type="dxa" w:w="1814"/>
            <w:shd w:fill="F2F6FA"/>
            <w:vAlign w:val="center"/>
          </w:tcPr>
          <w:p>
            <w:pPr>
              <w:spacing w:after="0" w:line="269" w:lineRule="auto"/>
            </w:pPr>
            <w:r/>
            <w:r>
              <w:rPr>
                <w:rFonts w:ascii="Noto Sans CJK SC" w:hAnsi="Noto Sans CJK SC" w:eastAsia="Noto Sans CJK SC"/>
                <w:b/>
                <w:sz w:val="17"/>
              </w:rPr>
              <w:t>规则库</w:t>
            </w:r>
          </w:p>
        </w:tc>
        <w:tc>
          <w:tcPr>
            <w:tcW w:type="dxa" w:w="3969"/>
            <w:vAlign w:val="center"/>
          </w:tcPr>
          <w:p>
            <w:pPr>
              <w:spacing w:after="0" w:line="269" w:lineRule="auto"/>
            </w:pPr>
            <w:r/>
            <w:r>
              <w:rPr>
                <w:rFonts w:ascii="Noto Sans CJK SC" w:hAnsi="Noto Sans CJK SC" w:eastAsia="Noto Sans CJK SC"/>
                <w:b w:val="0"/>
                <w:sz w:val="17"/>
              </w:rPr>
              <w:t>如果只写“自建规则库”，法律专业性和可信度不足。</w:t>
            </w:r>
          </w:p>
        </w:tc>
        <w:tc>
          <w:tcPr>
            <w:tcW w:type="dxa" w:w="3969"/>
            <w:vAlign w:val="center"/>
          </w:tcPr>
          <w:p>
            <w:pPr>
              <w:spacing w:after="0" w:line="269" w:lineRule="auto"/>
            </w:pPr>
            <w:r/>
            <w:r>
              <w:rPr>
                <w:rFonts w:ascii="Noto Sans CJK SC" w:hAnsi="Noto Sans CJK SC" w:eastAsia="Noto Sans CJK SC"/>
                <w:b w:val="0"/>
                <w:sz w:val="17"/>
              </w:rPr>
              <w:t>明确规则来源：法律规范、司法规则、国际贸易惯例、外贸实务案例和人工复核。</w:t>
            </w:r>
          </w:p>
        </w:tc>
      </w:tr>
      <w:tr>
        <w:tc>
          <w:tcPr>
            <w:tcW w:type="dxa" w:w="1814"/>
            <w:shd w:fill="F2F6FA"/>
            <w:vAlign w:val="center"/>
          </w:tcPr>
          <w:p>
            <w:pPr>
              <w:spacing w:after="0" w:line="269" w:lineRule="auto"/>
            </w:pPr>
            <w:r/>
            <w:r>
              <w:rPr>
                <w:rFonts w:ascii="Noto Sans CJK SC" w:hAnsi="Noto Sans CJK SC" w:eastAsia="Noto Sans CJK SC"/>
                <w:b/>
                <w:sz w:val="17"/>
              </w:rPr>
              <w:t>合规设计</w:t>
            </w:r>
          </w:p>
        </w:tc>
        <w:tc>
          <w:tcPr>
            <w:tcW w:type="dxa" w:w="3969"/>
            <w:vAlign w:val="center"/>
          </w:tcPr>
          <w:p>
            <w:pPr>
              <w:spacing w:after="0" w:line="269" w:lineRule="auto"/>
            </w:pPr>
            <w:r/>
            <w:r>
              <w:rPr>
                <w:rFonts w:ascii="Noto Sans CJK SC" w:hAnsi="Noto Sans CJK SC" w:eastAsia="Noto Sans CJK SC"/>
                <w:b w:val="0"/>
                <w:sz w:val="17"/>
              </w:rPr>
              <w:t>原则性表述较多，产品动作不足。</w:t>
            </w:r>
          </w:p>
        </w:tc>
        <w:tc>
          <w:tcPr>
            <w:tcW w:type="dxa" w:w="3969"/>
            <w:vAlign w:val="center"/>
          </w:tcPr>
          <w:p>
            <w:pPr>
              <w:spacing w:after="0" w:line="269" w:lineRule="auto"/>
            </w:pPr>
            <w:r/>
            <w:r>
              <w:rPr>
                <w:rFonts w:ascii="Noto Sans CJK SC" w:hAnsi="Noto Sans CJK SC" w:eastAsia="Noto Sans CJK SC"/>
                <w:b w:val="0"/>
                <w:sz w:val="17"/>
              </w:rPr>
              <w:t>改为四道防线：法律服务边界、合同与证据合规、个人信息与数据安全、系统安全与跨境数据边界。</w:t>
            </w:r>
          </w:p>
        </w:tc>
      </w:tr>
    </w:tbl>
    <w:p>
      <w:pPr>
        <w:spacing w:after="40"/>
      </w:pPr>
    </w:p>
    <w:p>
      <w:r>
        <w:br w:type="page"/>
      </w:r>
    </w:p>
    <w:tbl>
      <w:tblPr>
        <w:tblW w:type="auto" w:w="0"/>
        <w:jc w:val="center"/>
        <w:tblLook w:firstColumn="1" w:firstRow="1" w:lastColumn="0" w:lastRow="0" w:noHBand="0" w:noVBand="1" w:val="04A0"/>
        <w:tblBorders>
          <w:top w:val="single" w:sz="6" w:space="0" w:color="D6EAF8"/>
          <w:left w:val="single" w:sz="6" w:space="0" w:color="D6EAF8"/>
          <w:bottom w:val="single" w:sz="6" w:space="0" w:color="D6EAF8"/>
          <w:right w:val="single" w:sz="6" w:space="0" w:color="D6EAF8"/>
          <w:insideH w:val="single" w:sz="6" w:space="0" w:color="D6EAF8"/>
          <w:insideV w:val="single" w:sz="6" w:space="0" w:color="D6EAF8"/>
        </w:tblBorders>
      </w:tblPr>
      <w:tblGrid>
        <w:gridCol w:w="9922"/>
      </w:tblGrid>
      <w:tr>
        <w:tc>
          <w:tcPr>
            <w:tcW w:type="dxa" w:w="9922"/>
            <w:shd w:fill="EAF2F8"/>
          </w:tcPr>
          <w:p>
            <w:pPr>
              <w:spacing w:after="40"/>
            </w:pPr>
            <w:r>
              <w:rPr>
                <w:rFonts w:ascii="Noto Sans CJK SC" w:hAnsi="Noto Sans CJK SC" w:eastAsia="Noto Sans CJK SC"/>
                <w:b/>
                <w:color w:val="1F4E79"/>
                <w:sz w:val="22"/>
              </w:rPr>
              <w:t>本版核心判断</w:t>
            </w:r>
          </w:p>
          <w:p>
            <w:pPr>
              <w:spacing w:line="276" w:lineRule="auto" w:after="20"/>
            </w:pPr>
            <w:r>
              <w:rPr>
                <w:rFonts w:ascii="Noto Sans CJK SC" w:hAnsi="Noto Sans CJK SC" w:eastAsia="Noto Sans CJK SC"/>
                <w:sz w:val="20"/>
              </w:rPr>
              <w:t>TradeLaw AI 的初赛竞争力不在于功能最多，而在于能把“外贸业务员上传订单材料 - AI 识别合同风险 - 法务复核 - 老板决策 - 报告导出”这条链路做得清楚、可信、可演示。</w:t>
            </w:r>
          </w:p>
        </w:tc>
      </w:tr>
    </w:tbl>
    <w:p>
      <w:pPr>
        <w:spacing w:after="60"/>
      </w:pPr>
    </w:p>
    <w:p>
      <w:pPr>
        <w:pStyle w:val="Heading1"/>
        <w:spacing w:before="200" w:after="80"/>
      </w:pPr>
      <w:r>
        <w:rPr>
          <w:rFonts w:ascii="Noto Sans CJK SC" w:hAnsi="Noto Sans CJK SC" w:eastAsia="Noto Sans CJK SC"/>
          <w:b/>
          <w:color w:val="1F4E79"/>
          <w:sz w:val="30"/>
        </w:rPr>
        <w:t>二、创意名称、项目愿景与目标市场</w:t>
      </w:r>
    </w:p>
    <w:p>
      <w:pPr>
        <w:pStyle w:val="Heading2"/>
        <w:spacing w:before="120" w:after="80"/>
      </w:pPr>
      <w:r>
        <w:rPr>
          <w:rFonts w:ascii="Noto Sans CJK SC" w:hAnsi="Noto Sans CJK SC" w:eastAsia="Noto Sans CJK SC"/>
          <w:b/>
          <w:color w:val="1F4E79"/>
          <w:sz w:val="25"/>
        </w:rPr>
        <w:t>（一）创意名称</w:t>
      </w:r>
    </w:p>
    <w:p>
      <w:pPr>
        <w:spacing w:after="100" w:line="283" w:lineRule="auto"/>
        <w:ind w:firstLine="420"/>
      </w:pPr>
      <w:r>
        <w:rPr>
          <w:rFonts w:ascii="Noto Sans CJK SC" w:hAnsi="Noto Sans CJK SC" w:eastAsia="Noto Sans CJK SC"/>
          <w:sz w:val="21"/>
        </w:rPr>
        <w:t>TradeLaw AI：面向东南亚外贸订单的法律风险协作工作台。</w:t>
      </w:r>
    </w:p>
    <w:p>
      <w:pPr>
        <w:spacing w:after="100" w:line="283" w:lineRule="auto"/>
        <w:ind w:firstLine="420"/>
      </w:pPr>
      <w:r>
        <w:rPr>
          <w:rFonts w:ascii="Noto Sans CJK SC" w:hAnsi="Noto Sans CJK SC" w:eastAsia="Noto Sans CJK SC"/>
          <w:sz w:val="21"/>
        </w:rPr>
        <w:t>副标题：面向中小外贸企业出口东南亚订单的合同审查、履约留痕、人工复核与报告导出 Web 平台。</w:t>
      </w:r>
    </w:p>
    <w:p>
      <w:pPr>
        <w:pStyle w:val="Heading2"/>
        <w:spacing w:before="120" w:after="80"/>
      </w:pPr>
      <w:r>
        <w:rPr>
          <w:rFonts w:ascii="Noto Sans CJK SC" w:hAnsi="Noto Sans CJK SC" w:eastAsia="Noto Sans CJK SC"/>
          <w:b/>
          <w:color w:val="1F4E79"/>
          <w:sz w:val="25"/>
        </w:rPr>
        <w:t>（二）项目愿景</w:t>
      </w:r>
    </w:p>
    <w:p>
      <w:pPr>
        <w:spacing w:after="100" w:line="283" w:lineRule="auto"/>
        <w:ind w:firstLine="420"/>
      </w:pPr>
      <w:r>
        <w:rPr>
          <w:rFonts w:ascii="Noto Sans CJK SC" w:hAnsi="Noto Sans CJK SC" w:eastAsia="Noto Sans CJK SC"/>
          <w:sz w:val="21"/>
        </w:rPr>
        <w:t>TradeLaw AI 试图解决中小外贸企业在订单签署和履约过程中“看不懂条款、留不住证据、找不到复核节点”的问题。很多外贸纠纷并不是在争议发生时才出现风险，而是在合同、PO、PI、付款安排、验货期限、贸易术语和单据流转阶段就已经埋下隐患。</w:t>
      </w:r>
    </w:p>
    <w:p>
      <w:pPr>
        <w:spacing w:after="100" w:line="283" w:lineRule="auto"/>
        <w:ind w:firstLine="420"/>
      </w:pPr>
      <w:r>
        <w:rPr>
          <w:rFonts w:ascii="Noto Sans CJK SC" w:hAnsi="Noto Sans CJK SC" w:eastAsia="Noto Sans CJK SC"/>
          <w:sz w:val="21"/>
        </w:rPr>
        <w:t>本项目希望将法律风险识别能力嵌入业务员日常工作，而不是等到拒付、退货、质量争议发生后再补救。业务员可以在签约前获得中文化、结构化的风险提示；法务或外部律师只需重点复核高风险事项；企业负责人可以依据简洁报告作出是否推进、如何修改条款、是否提高付款保护的交易决策。</w:t>
      </w:r>
    </w:p>
    <w:tbl>
      <w:tblPr>
        <w:tblW w:type="auto" w:w="0"/>
        <w:jc w:val="center"/>
        <w:tblLook w:firstColumn="1" w:firstRow="1" w:lastColumn="0" w:lastRow="0" w:noHBand="0" w:noVBand="1" w:val="04A0"/>
        <w:tblBorders>
          <w:top w:val="single" w:sz="6" w:space="0" w:color="D6EAF8"/>
          <w:left w:val="single" w:sz="6" w:space="0" w:color="D6EAF8"/>
          <w:bottom w:val="single" w:sz="6" w:space="0" w:color="D6EAF8"/>
          <w:right w:val="single" w:sz="6" w:space="0" w:color="D6EAF8"/>
          <w:insideH w:val="single" w:sz="6" w:space="0" w:color="D6EAF8"/>
          <w:insideV w:val="single" w:sz="6" w:space="0" w:color="D6EAF8"/>
        </w:tblBorders>
      </w:tblPr>
      <w:tblGrid>
        <w:gridCol w:w="9922"/>
      </w:tblGrid>
      <w:tr>
        <w:tc>
          <w:tcPr>
            <w:tcW w:type="dxa" w:w="9922"/>
            <w:shd w:fill="F8F9F9"/>
          </w:tcPr>
          <w:p>
            <w:pPr>
              <w:spacing w:after="40"/>
            </w:pPr>
            <w:r>
              <w:rPr>
                <w:rFonts w:ascii="Noto Sans CJK SC" w:hAnsi="Noto Sans CJK SC" w:eastAsia="Noto Sans CJK SC"/>
                <w:b/>
                <w:color w:val="1F4E79"/>
                <w:sz w:val="22"/>
              </w:rPr>
              <w:t>项目口号</w:t>
            </w:r>
          </w:p>
          <w:p>
            <w:pPr>
              <w:spacing w:line="276" w:lineRule="auto" w:after="20"/>
            </w:pPr>
            <w:r>
              <w:rPr>
                <w:rFonts w:ascii="Noto Sans CJK SC" w:hAnsi="Noto Sans CJK SC" w:eastAsia="Noto Sans CJK SC"/>
                <w:sz w:val="20"/>
              </w:rPr>
              <w:t>让外贸业务员看得懂风险，让法务管得住风险，让老板做得了决策。</w:t>
            </w:r>
          </w:p>
        </w:tc>
      </w:tr>
    </w:tbl>
    <w:p>
      <w:pPr>
        <w:spacing w:after="60"/>
      </w:pPr>
    </w:p>
    <w:p>
      <w:pPr>
        <w:pStyle w:val="Heading2"/>
        <w:spacing w:before="120" w:after="80"/>
      </w:pPr>
      <w:r>
        <w:rPr>
          <w:rFonts w:ascii="Noto Sans CJK SC" w:hAnsi="Noto Sans CJK SC" w:eastAsia="Noto Sans CJK SC"/>
          <w:b/>
          <w:color w:val="1F4E79"/>
          <w:sz w:val="25"/>
        </w:rPr>
        <w:t>（三）目标市场：优先聚焦东南亚出口订单</w:t>
      </w:r>
    </w:p>
    <w:p>
      <w:pPr>
        <w:spacing w:after="100" w:line="283" w:lineRule="auto"/>
        <w:ind w:firstLine="420"/>
      </w:pPr>
      <w:r>
        <w:rPr>
          <w:rFonts w:ascii="Noto Sans CJK SC" w:hAnsi="Noto Sans CJK SC" w:eastAsia="Noto Sans CJK SC"/>
          <w:sz w:val="21"/>
        </w:rPr>
        <w:t>本项目第一阶段聚焦中国企业出口东南亚，优先覆盖越南、马来西亚、印度尼西亚三个演示国家，并在产品设计中保留泰国、菲律宾、新加坡等常见目的国的扩展空间。</w:t>
      </w:r>
    </w:p>
    <w:p>
      <w:pPr>
        <w:spacing w:after="100" w:line="283" w:lineRule="auto"/>
        <w:ind w:firstLine="420"/>
      </w:pPr>
      <w:r>
        <w:rPr>
          <w:rFonts w:ascii="Noto Sans CJK SC" w:hAnsi="Noto Sans CJK SC" w:eastAsia="Noto Sans CJK SC"/>
          <w:sz w:val="21"/>
        </w:rPr>
        <w:t>选择东南亚作为初始市场，一方面是因为中国与东盟贸易联系紧密，东盟长期是中国重要贸易伙伴；另一方面是因为东南亚订单中常见英文合同、PO、PI、尾款支付、客户指定货代、DDP 或目的港费用、质量异议期限、争议解决条款缺失等高频问题，适合沉淀成可演示的规则库和案例库。商务部驻东盟使团经济商务处援引海关总署数据称，2025 年 1-11 月东盟继续保持中国第一大贸易伙伴地位，中国与东盟贸易总值为 6.82 万亿元，占中国外贸总值 16.6%；东盟成员中，与中国前三大贸易伙伴为越南、马来西亚和印度尼西亚。〔9〕</w:t>
      </w:r>
    </w:p>
    <w:p>
      <w:pPr>
        <w:spacing w:after="100" w:line="283" w:lineRule="auto"/>
        <w:ind w:firstLine="420"/>
      </w:pPr>
      <w:r>
        <w:rPr>
          <w:rFonts w:ascii="Noto Sans CJK SC" w:hAnsi="Noto Sans CJK SC" w:eastAsia="Noto Sans CJK SC"/>
          <w:sz w:val="21"/>
        </w:rPr>
        <w:t>产品在东南亚方向上的定位应保持谨慎：MVP 阶段不直接提供越南、印尼或马来西亚本地正式法律意见，而是提供“目的国交易注意事项”和“外贸合同高频风险提示”。若涉及当地强制性法规、进口许可、税务、认证或争议解决策略，应进入人工复核或外部律师咨询。</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701"/>
            <w:shd w:fill="D9EAF7"/>
            <w:vAlign w:val="center"/>
          </w:tcPr>
          <w:p>
            <w:pPr>
              <w:spacing w:after="0" w:line="269" w:lineRule="auto"/>
              <w:jc w:val="center"/>
            </w:pPr>
            <w:r/>
            <w:r>
              <w:rPr>
                <w:rFonts w:ascii="Noto Sans CJK SC" w:hAnsi="Noto Sans CJK SC" w:eastAsia="Noto Sans CJK SC"/>
                <w:b/>
                <w:color w:val="1F4E79"/>
                <w:sz w:val="17"/>
              </w:rPr>
              <w:t>国家/地区</w:t>
            </w:r>
          </w:p>
        </w:tc>
        <w:tc>
          <w:tcPr>
            <w:tcW w:type="dxa" w:w="3402"/>
            <w:shd w:fill="D9EAF7"/>
            <w:vAlign w:val="center"/>
          </w:tcPr>
          <w:p>
            <w:pPr>
              <w:spacing w:after="0" w:line="269" w:lineRule="auto"/>
              <w:jc w:val="center"/>
            </w:pPr>
            <w:r/>
            <w:r>
              <w:rPr>
                <w:rFonts w:ascii="Noto Sans CJK SC" w:hAnsi="Noto Sans CJK SC" w:eastAsia="Noto Sans CJK SC"/>
                <w:b/>
                <w:color w:val="1F4E79"/>
                <w:sz w:val="17"/>
              </w:rPr>
              <w:t>MVP 中的使用方式</w:t>
            </w:r>
          </w:p>
        </w:tc>
        <w:tc>
          <w:tcPr>
            <w:tcW w:type="dxa" w:w="4762"/>
            <w:shd w:fill="D9EAF7"/>
            <w:vAlign w:val="center"/>
          </w:tcPr>
          <w:p>
            <w:pPr>
              <w:spacing w:after="0" w:line="269" w:lineRule="auto"/>
              <w:jc w:val="center"/>
            </w:pPr>
            <w:r/>
            <w:r>
              <w:rPr>
                <w:rFonts w:ascii="Noto Sans CJK SC" w:hAnsi="Noto Sans CJK SC" w:eastAsia="Noto Sans CJK SC"/>
                <w:b/>
                <w:color w:val="1F4E79"/>
                <w:sz w:val="17"/>
              </w:rPr>
              <w:t>主要关注点</w:t>
            </w:r>
          </w:p>
        </w:tc>
      </w:tr>
      <w:tr>
        <w:tc>
          <w:tcPr>
            <w:tcW w:type="dxa" w:w="1701"/>
            <w:shd w:fill="F2F6FA"/>
            <w:vAlign w:val="center"/>
          </w:tcPr>
          <w:p>
            <w:pPr>
              <w:spacing w:after="0" w:line="269" w:lineRule="auto"/>
            </w:pPr>
            <w:r/>
            <w:r>
              <w:rPr>
                <w:rFonts w:ascii="Noto Sans CJK SC" w:hAnsi="Noto Sans CJK SC" w:eastAsia="Noto Sans CJK SC"/>
                <w:b/>
                <w:sz w:val="17"/>
              </w:rPr>
              <w:t>越南</w:t>
            </w:r>
          </w:p>
        </w:tc>
        <w:tc>
          <w:tcPr>
            <w:tcW w:type="dxa" w:w="3402"/>
            <w:vAlign w:val="center"/>
          </w:tcPr>
          <w:p>
            <w:pPr>
              <w:spacing w:after="0" w:line="269" w:lineRule="auto"/>
            </w:pPr>
            <w:r/>
            <w:r>
              <w:rPr>
                <w:rFonts w:ascii="Noto Sans CJK SC" w:hAnsi="Noto Sans CJK SC" w:eastAsia="Noto Sans CJK SC"/>
                <w:b w:val="0"/>
                <w:sz w:val="17"/>
              </w:rPr>
              <w:t>作为 PO 审查演示案例之一。</w:t>
            </w:r>
          </w:p>
        </w:tc>
        <w:tc>
          <w:tcPr>
            <w:tcW w:type="dxa" w:w="4762"/>
            <w:vAlign w:val="center"/>
          </w:tcPr>
          <w:p>
            <w:pPr>
              <w:spacing w:after="0" w:line="269" w:lineRule="auto"/>
            </w:pPr>
            <w:r/>
            <w:r>
              <w:rPr>
                <w:rFonts w:ascii="Noto Sans CJK SC" w:hAnsi="Noto Sans CJK SC" w:eastAsia="Noto Sans CJK SC"/>
                <w:b w:val="0"/>
                <w:sz w:val="17"/>
              </w:rPr>
              <w:t>尾款到港后支付、收货后验货、质量异议期限、争议解决条款缺失。</w:t>
            </w:r>
          </w:p>
        </w:tc>
      </w:tr>
      <w:tr>
        <w:tc>
          <w:tcPr>
            <w:tcW w:type="dxa" w:w="1701"/>
            <w:shd w:fill="F2F6FA"/>
            <w:vAlign w:val="center"/>
          </w:tcPr>
          <w:p>
            <w:pPr>
              <w:spacing w:after="0" w:line="269" w:lineRule="auto"/>
            </w:pPr>
            <w:r/>
            <w:r>
              <w:rPr>
                <w:rFonts w:ascii="Noto Sans CJK SC" w:hAnsi="Noto Sans CJK SC" w:eastAsia="Noto Sans CJK SC"/>
                <w:b/>
                <w:sz w:val="17"/>
              </w:rPr>
              <w:t>印度尼西亚</w:t>
            </w:r>
          </w:p>
        </w:tc>
        <w:tc>
          <w:tcPr>
            <w:tcW w:type="dxa" w:w="3402"/>
            <w:vAlign w:val="center"/>
          </w:tcPr>
          <w:p>
            <w:pPr>
              <w:spacing w:after="0" w:line="269" w:lineRule="auto"/>
            </w:pPr>
            <w:r/>
            <w:r>
              <w:rPr>
                <w:rFonts w:ascii="Noto Sans CJK SC" w:hAnsi="Noto Sans CJK SC" w:eastAsia="Noto Sans CJK SC"/>
                <w:b w:val="0"/>
                <w:sz w:val="17"/>
              </w:rPr>
              <w:t>作为 DDP 或目的国清关风险演示案例。</w:t>
            </w:r>
          </w:p>
        </w:tc>
        <w:tc>
          <w:tcPr>
            <w:tcW w:type="dxa" w:w="4762"/>
            <w:vAlign w:val="center"/>
          </w:tcPr>
          <w:p>
            <w:pPr>
              <w:spacing w:after="0" w:line="269" w:lineRule="auto"/>
            </w:pPr>
            <w:r/>
            <w:r>
              <w:rPr>
                <w:rFonts w:ascii="Noto Sans CJK SC" w:hAnsi="Noto Sans CJK SC" w:eastAsia="Noto Sans CJK SC"/>
                <w:b w:val="0"/>
                <w:sz w:val="17"/>
              </w:rPr>
              <w:t>DDP 责任边界、进口清关资料、税费与滞港费承担、目的国合规资料完整性。</w:t>
            </w:r>
          </w:p>
        </w:tc>
      </w:tr>
      <w:tr>
        <w:tc>
          <w:tcPr>
            <w:tcW w:type="dxa" w:w="1701"/>
            <w:shd w:fill="F2F6FA"/>
            <w:vAlign w:val="center"/>
          </w:tcPr>
          <w:p>
            <w:pPr>
              <w:spacing w:after="0" w:line="269" w:lineRule="auto"/>
            </w:pPr>
            <w:r/>
            <w:r>
              <w:rPr>
                <w:rFonts w:ascii="Noto Sans CJK SC" w:hAnsi="Noto Sans CJK SC" w:eastAsia="Noto Sans CJK SC"/>
                <w:b/>
                <w:sz w:val="17"/>
              </w:rPr>
              <w:t>马来西亚</w:t>
            </w:r>
          </w:p>
        </w:tc>
        <w:tc>
          <w:tcPr>
            <w:tcW w:type="dxa" w:w="3402"/>
            <w:vAlign w:val="center"/>
          </w:tcPr>
          <w:p>
            <w:pPr>
              <w:spacing w:after="0" w:line="269" w:lineRule="auto"/>
            </w:pPr>
            <w:r/>
            <w:r>
              <w:rPr>
                <w:rFonts w:ascii="Noto Sans CJK SC" w:hAnsi="Noto Sans CJK SC" w:eastAsia="Noto Sans CJK SC"/>
                <w:b w:val="0"/>
                <w:sz w:val="17"/>
              </w:rPr>
              <w:t>作为质量异议和拒付尾款演示案例。</w:t>
            </w:r>
          </w:p>
        </w:tc>
        <w:tc>
          <w:tcPr>
            <w:tcW w:type="dxa" w:w="4762"/>
            <w:vAlign w:val="center"/>
          </w:tcPr>
          <w:p>
            <w:pPr>
              <w:spacing w:after="0" w:line="269" w:lineRule="auto"/>
            </w:pPr>
            <w:r/>
            <w:r>
              <w:rPr>
                <w:rFonts w:ascii="Noto Sans CJK SC" w:hAnsi="Noto Sans CJK SC" w:eastAsia="Noto Sans CJK SC"/>
                <w:b w:val="0"/>
                <w:sz w:val="17"/>
              </w:rPr>
              <w:t>验货记录、收货确认、客户迟延提出质量异议、英文合同与中文报价一致性。</w:t>
            </w:r>
          </w:p>
        </w:tc>
      </w:tr>
      <w:tr>
        <w:tc>
          <w:tcPr>
            <w:tcW w:type="dxa" w:w="1701"/>
            <w:shd w:fill="F2F6FA"/>
            <w:vAlign w:val="center"/>
          </w:tcPr>
          <w:p>
            <w:pPr>
              <w:spacing w:after="0" w:line="269" w:lineRule="auto"/>
            </w:pPr>
            <w:r/>
            <w:r>
              <w:rPr>
                <w:rFonts w:ascii="Noto Sans CJK SC" w:hAnsi="Noto Sans CJK SC" w:eastAsia="Noto Sans CJK SC"/>
                <w:b/>
                <w:sz w:val="17"/>
              </w:rPr>
              <w:t>泰国/菲律宾/新加坡</w:t>
            </w:r>
          </w:p>
        </w:tc>
        <w:tc>
          <w:tcPr>
            <w:tcW w:type="dxa" w:w="3402"/>
            <w:vAlign w:val="center"/>
          </w:tcPr>
          <w:p>
            <w:pPr>
              <w:spacing w:after="0" w:line="269" w:lineRule="auto"/>
            </w:pPr>
            <w:r/>
            <w:r>
              <w:rPr>
                <w:rFonts w:ascii="Noto Sans CJK SC" w:hAnsi="Noto Sans CJK SC" w:eastAsia="Noto Sans CJK SC"/>
                <w:b w:val="0"/>
                <w:sz w:val="17"/>
              </w:rPr>
              <w:t>作为后续国家风险卡片扩展方向。</w:t>
            </w:r>
          </w:p>
        </w:tc>
        <w:tc>
          <w:tcPr>
            <w:tcW w:type="dxa" w:w="4762"/>
            <w:vAlign w:val="center"/>
          </w:tcPr>
          <w:p>
            <w:pPr>
              <w:spacing w:after="0" w:line="269" w:lineRule="auto"/>
            </w:pPr>
            <w:r/>
            <w:r>
              <w:rPr>
                <w:rFonts w:ascii="Noto Sans CJK SC" w:hAnsi="Noto Sans CJK SC" w:eastAsia="Noto Sans CJK SC"/>
                <w:b w:val="0"/>
                <w:sz w:val="17"/>
              </w:rPr>
              <w:t>付款节点、客户指定货代、目的港费用、争议解决地、仲裁条款和单据留存。</w:t>
            </w:r>
          </w:p>
        </w:tc>
      </w:tr>
    </w:tbl>
    <w:p>
      <w:pPr>
        <w:spacing w:after="40"/>
      </w:pPr>
    </w:p>
    <w:p>
      <w:pPr>
        <w:pStyle w:val="Heading1"/>
        <w:spacing w:before="200" w:after="80"/>
      </w:pPr>
      <w:r>
        <w:rPr>
          <w:rFonts w:ascii="Noto Sans CJK SC" w:hAnsi="Noto Sans CJK SC" w:eastAsia="Noto Sans CJK SC"/>
          <w:b/>
          <w:color w:val="1F4E79"/>
          <w:sz w:val="30"/>
        </w:rPr>
        <w:t>三、目标用户与核心场景</w:t>
      </w:r>
    </w:p>
    <w:p>
      <w:pPr>
        <w:pStyle w:val="Heading2"/>
        <w:spacing w:before="120" w:after="80"/>
      </w:pPr>
      <w:r>
        <w:rPr>
          <w:rFonts w:ascii="Noto Sans CJK SC" w:hAnsi="Noto Sans CJK SC" w:eastAsia="Noto Sans CJK SC"/>
          <w:b/>
          <w:color w:val="1F4E79"/>
          <w:sz w:val="25"/>
        </w:rPr>
        <w:t>（一）目标用户画像</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80"/>
        <w:gridCol w:w="2480"/>
        <w:gridCol w:w="2480"/>
        <w:gridCol w:w="2480"/>
      </w:tblGrid>
      <w:tr>
        <w:tc>
          <w:tcPr>
            <w:tcW w:type="dxa" w:w="1701"/>
            <w:shd w:fill="D9EAF7"/>
            <w:vAlign w:val="center"/>
          </w:tcPr>
          <w:p>
            <w:pPr>
              <w:spacing w:after="0" w:line="269" w:lineRule="auto"/>
              <w:jc w:val="center"/>
            </w:pPr>
            <w:r/>
            <w:r>
              <w:rPr>
                <w:rFonts w:ascii="Noto Sans CJK SC" w:hAnsi="Noto Sans CJK SC" w:eastAsia="Noto Sans CJK SC"/>
                <w:b/>
                <w:color w:val="1F4E79"/>
                <w:sz w:val="16"/>
              </w:rPr>
              <w:t>用户角色</w:t>
            </w:r>
          </w:p>
        </w:tc>
        <w:tc>
          <w:tcPr>
            <w:tcW w:type="dxa" w:w="2551"/>
            <w:shd w:fill="D9EAF7"/>
            <w:vAlign w:val="center"/>
          </w:tcPr>
          <w:p>
            <w:pPr>
              <w:spacing w:after="0" w:line="269" w:lineRule="auto"/>
              <w:jc w:val="center"/>
            </w:pPr>
            <w:r/>
            <w:r>
              <w:rPr>
                <w:rFonts w:ascii="Noto Sans CJK SC" w:hAnsi="Noto Sans CJK SC" w:eastAsia="Noto Sans CJK SC"/>
                <w:b/>
                <w:color w:val="1F4E79"/>
                <w:sz w:val="16"/>
              </w:rPr>
              <w:t>典型工作场景</w:t>
            </w:r>
          </w:p>
        </w:tc>
        <w:tc>
          <w:tcPr>
            <w:tcW w:type="dxa" w:w="2835"/>
            <w:shd w:fill="D9EAF7"/>
            <w:vAlign w:val="center"/>
          </w:tcPr>
          <w:p>
            <w:pPr>
              <w:spacing w:after="0" w:line="269" w:lineRule="auto"/>
              <w:jc w:val="center"/>
            </w:pPr>
            <w:r/>
            <w:r>
              <w:rPr>
                <w:rFonts w:ascii="Noto Sans CJK SC" w:hAnsi="Noto Sans CJK SC" w:eastAsia="Noto Sans CJK SC"/>
                <w:b/>
                <w:color w:val="1F4E79"/>
                <w:sz w:val="16"/>
              </w:rPr>
              <w:t>主要痛点</w:t>
            </w:r>
          </w:p>
        </w:tc>
        <w:tc>
          <w:tcPr>
            <w:tcW w:type="dxa" w:w="2948"/>
            <w:shd w:fill="D9EAF7"/>
            <w:vAlign w:val="center"/>
          </w:tcPr>
          <w:p>
            <w:pPr>
              <w:spacing w:after="0" w:line="269" w:lineRule="auto"/>
              <w:jc w:val="center"/>
            </w:pPr>
            <w:r/>
            <w:r>
              <w:rPr>
                <w:rFonts w:ascii="Noto Sans CJK SC" w:hAnsi="Noto Sans CJK SC" w:eastAsia="Noto Sans CJK SC"/>
                <w:b/>
                <w:color w:val="1F4E79"/>
                <w:sz w:val="16"/>
              </w:rPr>
              <w:t>TradeLaw AI 的价值</w:t>
            </w:r>
          </w:p>
        </w:tc>
      </w:tr>
      <w:tr>
        <w:tc>
          <w:tcPr>
            <w:tcW w:type="dxa" w:w="1701"/>
            <w:shd w:fill="F2F6FA"/>
            <w:vAlign w:val="center"/>
          </w:tcPr>
          <w:p>
            <w:pPr>
              <w:spacing w:after="0" w:line="269" w:lineRule="auto"/>
            </w:pPr>
            <w:r/>
            <w:r>
              <w:rPr>
                <w:rFonts w:ascii="Noto Sans CJK SC" w:hAnsi="Noto Sans CJK SC" w:eastAsia="Noto Sans CJK SC"/>
                <w:b/>
                <w:sz w:val="16"/>
              </w:rPr>
              <w:t>外贸业务员</w:t>
            </w:r>
          </w:p>
        </w:tc>
        <w:tc>
          <w:tcPr>
            <w:tcW w:type="dxa" w:w="2551"/>
            <w:vAlign w:val="center"/>
          </w:tcPr>
          <w:p>
            <w:pPr>
              <w:spacing w:after="0" w:line="269" w:lineRule="auto"/>
            </w:pPr>
            <w:r/>
            <w:r>
              <w:rPr>
                <w:rFonts w:ascii="Noto Sans CJK SC" w:hAnsi="Noto Sans CJK SC" w:eastAsia="Noto Sans CJK SC"/>
                <w:b w:val="0"/>
                <w:sz w:val="16"/>
              </w:rPr>
              <w:t>回复询盘、接收 PO、确认 PI、与客户协商付款、交货和验货条款。</w:t>
            </w:r>
          </w:p>
        </w:tc>
        <w:tc>
          <w:tcPr>
            <w:tcW w:type="dxa" w:w="2835"/>
            <w:vAlign w:val="center"/>
          </w:tcPr>
          <w:p>
            <w:pPr>
              <w:spacing w:after="0" w:line="269" w:lineRule="auto"/>
            </w:pPr>
            <w:r/>
            <w:r>
              <w:rPr>
                <w:rFonts w:ascii="Noto Sans CJK SC" w:hAnsi="Noto Sans CJK SC" w:eastAsia="Noto Sans CJK SC"/>
                <w:b w:val="0"/>
                <w:sz w:val="16"/>
              </w:rPr>
              <w:t>英文条款多，法律风险识别能力有限；客户临时修改条款时难以判断是否能接受。</w:t>
            </w:r>
          </w:p>
        </w:tc>
        <w:tc>
          <w:tcPr>
            <w:tcW w:type="dxa" w:w="2948"/>
            <w:vAlign w:val="center"/>
          </w:tcPr>
          <w:p>
            <w:pPr>
              <w:spacing w:after="0" w:line="269" w:lineRule="auto"/>
            </w:pPr>
            <w:r/>
            <w:r>
              <w:rPr>
                <w:rFonts w:ascii="Noto Sans CJK SC" w:hAnsi="Noto Sans CJK SC" w:eastAsia="Noto Sans CJK SC"/>
                <w:b w:val="0"/>
                <w:sz w:val="16"/>
              </w:rPr>
              <w:t>上传合同、PO 或 PI 后获得中文风险提示、修改建议和客户沟通话术。</w:t>
            </w:r>
          </w:p>
        </w:tc>
      </w:tr>
      <w:tr>
        <w:tc>
          <w:tcPr>
            <w:tcW w:type="dxa" w:w="1701"/>
            <w:shd w:fill="F2F6FA"/>
            <w:vAlign w:val="center"/>
          </w:tcPr>
          <w:p>
            <w:pPr>
              <w:spacing w:after="0" w:line="269" w:lineRule="auto"/>
            </w:pPr>
            <w:r/>
            <w:r>
              <w:rPr>
                <w:rFonts w:ascii="Noto Sans CJK SC" w:hAnsi="Noto Sans CJK SC" w:eastAsia="Noto Sans CJK SC"/>
                <w:b/>
                <w:sz w:val="16"/>
              </w:rPr>
              <w:t>运营/跟单人员</w:t>
            </w:r>
          </w:p>
        </w:tc>
        <w:tc>
          <w:tcPr>
            <w:tcW w:type="dxa" w:w="2551"/>
            <w:vAlign w:val="center"/>
          </w:tcPr>
          <w:p>
            <w:pPr>
              <w:spacing w:after="0" w:line="269" w:lineRule="auto"/>
            </w:pPr>
            <w:r/>
            <w:r>
              <w:rPr>
                <w:rFonts w:ascii="Noto Sans CJK SC" w:hAnsi="Noto Sans CJK SC" w:eastAsia="Noto Sans CJK SC"/>
                <w:b w:val="0"/>
                <w:sz w:val="16"/>
              </w:rPr>
              <w:t>跟进生产、验货、发货、付款、单据流转和客户确认。</w:t>
            </w:r>
          </w:p>
        </w:tc>
        <w:tc>
          <w:tcPr>
            <w:tcW w:type="dxa" w:w="2835"/>
            <w:vAlign w:val="center"/>
          </w:tcPr>
          <w:p>
            <w:pPr>
              <w:spacing w:after="0" w:line="269" w:lineRule="auto"/>
            </w:pPr>
            <w:r/>
            <w:r>
              <w:rPr>
                <w:rFonts w:ascii="Noto Sans CJK SC" w:hAnsi="Noto Sans CJK SC" w:eastAsia="Noto Sans CJK SC"/>
                <w:b w:val="0"/>
                <w:sz w:val="16"/>
              </w:rPr>
              <w:t>关键材料分散在邮件、聊天记录、表格和文件夹中，纠纷后难以回溯。</w:t>
            </w:r>
          </w:p>
        </w:tc>
        <w:tc>
          <w:tcPr>
            <w:tcW w:type="dxa" w:w="2948"/>
            <w:vAlign w:val="center"/>
          </w:tcPr>
          <w:p>
            <w:pPr>
              <w:spacing w:after="0" w:line="269" w:lineRule="auto"/>
            </w:pPr>
            <w:r/>
            <w:r>
              <w:rPr>
                <w:rFonts w:ascii="Noto Sans CJK SC" w:hAnsi="Noto Sans CJK SC" w:eastAsia="Noto Sans CJK SC"/>
                <w:b w:val="0"/>
                <w:sz w:val="16"/>
              </w:rPr>
              <w:t>按订单节点留存材料，系统提示缺失证据，形成履约时间线。</w:t>
            </w:r>
          </w:p>
        </w:tc>
      </w:tr>
      <w:tr>
        <w:tc>
          <w:tcPr>
            <w:tcW w:type="dxa" w:w="1701"/>
            <w:shd w:fill="F2F6FA"/>
            <w:vAlign w:val="center"/>
          </w:tcPr>
          <w:p>
            <w:pPr>
              <w:spacing w:after="0" w:line="269" w:lineRule="auto"/>
            </w:pPr>
            <w:r/>
            <w:r>
              <w:rPr>
                <w:rFonts w:ascii="Noto Sans CJK SC" w:hAnsi="Noto Sans CJK SC" w:eastAsia="Noto Sans CJK SC"/>
                <w:b/>
                <w:sz w:val="16"/>
              </w:rPr>
              <w:t>企业负责人/外贸主管</w:t>
            </w:r>
          </w:p>
        </w:tc>
        <w:tc>
          <w:tcPr>
            <w:tcW w:type="dxa" w:w="2551"/>
            <w:vAlign w:val="center"/>
          </w:tcPr>
          <w:p>
            <w:pPr>
              <w:spacing w:after="0" w:line="269" w:lineRule="auto"/>
            </w:pPr>
            <w:r/>
            <w:r>
              <w:rPr>
                <w:rFonts w:ascii="Noto Sans CJK SC" w:hAnsi="Noto Sans CJK SC" w:eastAsia="Noto Sans CJK SC"/>
                <w:b w:val="0"/>
                <w:sz w:val="16"/>
              </w:rPr>
              <w:t>判断订单是否继续推进，决定是否接受客户条款或提高付款保护。</w:t>
            </w:r>
          </w:p>
        </w:tc>
        <w:tc>
          <w:tcPr>
            <w:tcW w:type="dxa" w:w="2835"/>
            <w:vAlign w:val="center"/>
          </w:tcPr>
          <w:p>
            <w:pPr>
              <w:spacing w:after="0" w:line="269" w:lineRule="auto"/>
            </w:pPr>
            <w:r/>
            <w:r>
              <w:rPr>
                <w:rFonts w:ascii="Noto Sans CJK SC" w:hAnsi="Noto Sans CJK SC" w:eastAsia="Noto Sans CJK SC"/>
                <w:b w:val="0"/>
                <w:sz w:val="16"/>
              </w:rPr>
              <w:t>很难快速看清风险与利润、回款和客户关系之间的关系。</w:t>
            </w:r>
          </w:p>
        </w:tc>
        <w:tc>
          <w:tcPr>
            <w:tcW w:type="dxa" w:w="2948"/>
            <w:vAlign w:val="center"/>
          </w:tcPr>
          <w:p>
            <w:pPr>
              <w:spacing w:after="0" w:line="269" w:lineRule="auto"/>
            </w:pPr>
            <w:r/>
            <w:r>
              <w:rPr>
                <w:rFonts w:ascii="Noto Sans CJK SC" w:hAnsi="Noto Sans CJK SC" w:eastAsia="Noto Sans CJK SC"/>
                <w:b w:val="0"/>
                <w:sz w:val="16"/>
              </w:rPr>
              <w:t>查看负责人版摘要，快速看到红色风险、待决策事项和复核意见。</w:t>
            </w:r>
          </w:p>
        </w:tc>
      </w:tr>
      <w:tr>
        <w:tc>
          <w:tcPr>
            <w:tcW w:type="dxa" w:w="1701"/>
            <w:shd w:fill="F2F6FA"/>
            <w:vAlign w:val="center"/>
          </w:tcPr>
          <w:p>
            <w:pPr>
              <w:spacing w:after="0" w:line="269" w:lineRule="auto"/>
            </w:pPr>
            <w:r/>
            <w:r>
              <w:rPr>
                <w:rFonts w:ascii="Noto Sans CJK SC" w:hAnsi="Noto Sans CJK SC" w:eastAsia="Noto Sans CJK SC"/>
                <w:b/>
                <w:sz w:val="16"/>
              </w:rPr>
              <w:t>企业法务/外部律师</w:t>
            </w:r>
          </w:p>
        </w:tc>
        <w:tc>
          <w:tcPr>
            <w:tcW w:type="dxa" w:w="2551"/>
            <w:vAlign w:val="center"/>
          </w:tcPr>
          <w:p>
            <w:pPr>
              <w:spacing w:after="0" w:line="269" w:lineRule="auto"/>
            </w:pPr>
            <w:r/>
            <w:r>
              <w:rPr>
                <w:rFonts w:ascii="Noto Sans CJK SC" w:hAnsi="Noto Sans CJK SC" w:eastAsia="Noto Sans CJK SC"/>
                <w:b w:val="0"/>
                <w:sz w:val="16"/>
              </w:rPr>
              <w:t>审核高风险合同、修改条款、处理争议和谈判材料。</w:t>
            </w:r>
          </w:p>
        </w:tc>
        <w:tc>
          <w:tcPr>
            <w:tcW w:type="dxa" w:w="2835"/>
            <w:vAlign w:val="center"/>
          </w:tcPr>
          <w:p>
            <w:pPr>
              <w:spacing w:after="0" w:line="269" w:lineRule="auto"/>
            </w:pPr>
            <w:r/>
            <w:r>
              <w:rPr>
                <w:rFonts w:ascii="Noto Sans CJK SC" w:hAnsi="Noto Sans CJK SC" w:eastAsia="Noto Sans CJK SC"/>
                <w:b w:val="0"/>
                <w:sz w:val="16"/>
              </w:rPr>
              <w:t>大量时间被重复性初筛和材料整理占用。</w:t>
            </w:r>
          </w:p>
        </w:tc>
        <w:tc>
          <w:tcPr>
            <w:tcW w:type="dxa" w:w="2948"/>
            <w:vAlign w:val="center"/>
          </w:tcPr>
          <w:p>
            <w:pPr>
              <w:spacing w:after="0" w:line="269" w:lineRule="auto"/>
            </w:pPr>
            <w:r/>
            <w:r>
              <w:rPr>
                <w:rFonts w:ascii="Noto Sans CJK SC" w:hAnsi="Noto Sans CJK SC" w:eastAsia="Noto Sans CJK SC"/>
                <w:b w:val="0"/>
                <w:sz w:val="16"/>
              </w:rPr>
              <w:t>只需重点复核系统推送的高风险事项，并把意见沉淀为企业规则。</w:t>
            </w:r>
          </w:p>
        </w:tc>
      </w:tr>
      <w:tr>
        <w:tc>
          <w:tcPr>
            <w:tcW w:type="dxa" w:w="1701"/>
            <w:shd w:fill="F2F6FA"/>
            <w:vAlign w:val="center"/>
          </w:tcPr>
          <w:p>
            <w:pPr>
              <w:spacing w:after="0" w:line="269" w:lineRule="auto"/>
            </w:pPr>
            <w:r/>
            <w:r>
              <w:rPr>
                <w:rFonts w:ascii="Noto Sans CJK SC" w:hAnsi="Noto Sans CJK SC" w:eastAsia="Noto Sans CJK SC"/>
                <w:b/>
                <w:sz w:val="16"/>
              </w:rPr>
              <w:t>外贸服务商/律所</w:t>
            </w:r>
          </w:p>
        </w:tc>
        <w:tc>
          <w:tcPr>
            <w:tcW w:type="dxa" w:w="2551"/>
            <w:vAlign w:val="center"/>
          </w:tcPr>
          <w:p>
            <w:pPr>
              <w:spacing w:after="0" w:line="269" w:lineRule="auto"/>
            </w:pPr>
            <w:r/>
            <w:r>
              <w:rPr>
                <w:rFonts w:ascii="Noto Sans CJK SC" w:hAnsi="Noto Sans CJK SC" w:eastAsia="Noto Sans CJK SC"/>
                <w:b w:val="0"/>
                <w:sz w:val="16"/>
              </w:rPr>
              <w:t>为多家中小外贸企业提供合同审查、合规咨询和争议处理。</w:t>
            </w:r>
          </w:p>
        </w:tc>
        <w:tc>
          <w:tcPr>
            <w:tcW w:type="dxa" w:w="2835"/>
            <w:vAlign w:val="center"/>
          </w:tcPr>
          <w:p>
            <w:pPr>
              <w:spacing w:after="0" w:line="269" w:lineRule="auto"/>
            </w:pPr>
            <w:r/>
            <w:r>
              <w:rPr>
                <w:rFonts w:ascii="Noto Sans CJK SC" w:hAnsi="Noto Sans CJK SC" w:eastAsia="Noto Sans CJK SC"/>
                <w:b w:val="0"/>
                <w:sz w:val="16"/>
              </w:rPr>
              <w:t>服务高度依赖人工，标准化和规模化难度较高。</w:t>
            </w:r>
          </w:p>
        </w:tc>
        <w:tc>
          <w:tcPr>
            <w:tcW w:type="dxa" w:w="2948"/>
            <w:vAlign w:val="center"/>
          </w:tcPr>
          <w:p>
            <w:pPr>
              <w:spacing w:after="0" w:line="269" w:lineRule="auto"/>
            </w:pPr>
            <w:r/>
            <w:r>
              <w:rPr>
                <w:rFonts w:ascii="Noto Sans CJK SC" w:hAnsi="Noto Sans CJK SC" w:eastAsia="Noto Sans CJK SC"/>
                <w:b w:val="0"/>
                <w:sz w:val="16"/>
              </w:rPr>
              <w:t>二期可通过企业版或接口能力提高交付效率。</w:t>
            </w:r>
          </w:p>
        </w:tc>
      </w:tr>
    </w:tbl>
    <w:p>
      <w:pPr>
        <w:spacing w:after="40"/>
      </w:pPr>
    </w:p>
    <w:p>
      <w:pPr>
        <w:pStyle w:val="Heading2"/>
        <w:spacing w:before="120" w:after="80"/>
      </w:pPr>
      <w:r>
        <w:rPr>
          <w:rFonts w:ascii="Noto Sans CJK SC" w:hAnsi="Noto Sans CJK SC" w:eastAsia="Noto Sans CJK SC"/>
          <w:b/>
          <w:color w:val="1F4E79"/>
          <w:sz w:val="25"/>
        </w:rPr>
        <w:t>（二）核心使用场景</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80"/>
        <w:gridCol w:w="2480"/>
        <w:gridCol w:w="2480"/>
        <w:gridCol w:w="2480"/>
      </w:tblGrid>
      <w:tr>
        <w:tc>
          <w:tcPr>
            <w:tcW w:type="dxa" w:w="1984"/>
            <w:shd w:fill="D9EAF7"/>
            <w:vAlign w:val="center"/>
          </w:tcPr>
          <w:p>
            <w:pPr>
              <w:spacing w:after="0" w:line="269" w:lineRule="auto"/>
              <w:jc w:val="center"/>
            </w:pPr>
            <w:r/>
            <w:r>
              <w:rPr>
                <w:rFonts w:ascii="Noto Sans CJK SC" w:hAnsi="Noto Sans CJK SC" w:eastAsia="Noto Sans CJK SC"/>
                <w:b/>
                <w:color w:val="1F4E79"/>
                <w:sz w:val="16"/>
              </w:rPr>
              <w:t>场景</w:t>
            </w:r>
          </w:p>
        </w:tc>
        <w:tc>
          <w:tcPr>
            <w:tcW w:type="dxa" w:w="3402"/>
            <w:shd w:fill="D9EAF7"/>
            <w:vAlign w:val="center"/>
          </w:tcPr>
          <w:p>
            <w:pPr>
              <w:spacing w:after="0" w:line="269" w:lineRule="auto"/>
              <w:jc w:val="center"/>
            </w:pPr>
            <w:r/>
            <w:r>
              <w:rPr>
                <w:rFonts w:ascii="Noto Sans CJK SC" w:hAnsi="Noto Sans CJK SC" w:eastAsia="Noto Sans CJK SC"/>
                <w:b/>
                <w:color w:val="1F4E79"/>
                <w:sz w:val="16"/>
              </w:rPr>
              <w:t>触发时点与输入材料</w:t>
            </w:r>
          </w:p>
        </w:tc>
        <w:tc>
          <w:tcPr>
            <w:tcW w:type="dxa" w:w="2835"/>
            <w:shd w:fill="D9EAF7"/>
            <w:vAlign w:val="center"/>
          </w:tcPr>
          <w:p>
            <w:pPr>
              <w:spacing w:after="0" w:line="269" w:lineRule="auto"/>
              <w:jc w:val="center"/>
            </w:pPr>
            <w:r/>
            <w:r>
              <w:rPr>
                <w:rFonts w:ascii="Noto Sans CJK SC" w:hAnsi="Noto Sans CJK SC" w:eastAsia="Noto Sans CJK SC"/>
                <w:b/>
                <w:color w:val="1F4E79"/>
                <w:sz w:val="16"/>
              </w:rPr>
              <w:t>系统输出</w:t>
            </w:r>
          </w:p>
        </w:tc>
        <w:tc>
          <w:tcPr>
            <w:tcW w:type="dxa" w:w="2381"/>
            <w:shd w:fill="D9EAF7"/>
            <w:vAlign w:val="center"/>
          </w:tcPr>
          <w:p>
            <w:pPr>
              <w:spacing w:after="0" w:line="269" w:lineRule="auto"/>
              <w:jc w:val="center"/>
            </w:pPr>
            <w:r/>
            <w:r>
              <w:rPr>
                <w:rFonts w:ascii="Noto Sans CJK SC" w:hAnsi="Noto Sans CJK SC" w:eastAsia="Noto Sans CJK SC"/>
                <w:b/>
                <w:color w:val="1F4E79"/>
                <w:sz w:val="16"/>
              </w:rPr>
              <w:t>后续处置</w:t>
            </w:r>
          </w:p>
        </w:tc>
      </w:tr>
      <w:tr>
        <w:tc>
          <w:tcPr>
            <w:tcW w:type="dxa" w:w="1984"/>
            <w:shd w:fill="F2F6FA"/>
            <w:vAlign w:val="center"/>
          </w:tcPr>
          <w:p>
            <w:pPr>
              <w:spacing w:after="0" w:line="269" w:lineRule="auto"/>
            </w:pPr>
            <w:r/>
            <w:r>
              <w:rPr>
                <w:rFonts w:ascii="Noto Sans CJK SC" w:hAnsi="Noto Sans CJK SC" w:eastAsia="Noto Sans CJK SC"/>
                <w:b/>
                <w:sz w:val="16"/>
              </w:rPr>
              <w:t>合同与订单条款审查</w:t>
            </w:r>
          </w:p>
        </w:tc>
        <w:tc>
          <w:tcPr>
            <w:tcW w:type="dxa" w:w="3402"/>
            <w:vAlign w:val="center"/>
          </w:tcPr>
          <w:p>
            <w:pPr>
              <w:spacing w:after="0" w:line="269" w:lineRule="auto"/>
            </w:pPr>
            <w:r/>
            <w:r>
              <w:rPr>
                <w:rFonts w:ascii="Noto Sans CJK SC" w:hAnsi="Noto Sans CJK SC" w:eastAsia="Noto Sans CJK SC"/>
                <w:b w:val="0"/>
                <w:sz w:val="16"/>
              </w:rPr>
              <w:t>签署英文合同、PO、PI、销售确认书前；输入合同文本、贸易术语、付款方式、目的国、订单金额和产品类型。</w:t>
            </w:r>
          </w:p>
        </w:tc>
        <w:tc>
          <w:tcPr>
            <w:tcW w:type="dxa" w:w="2835"/>
            <w:vAlign w:val="center"/>
          </w:tcPr>
          <w:p>
            <w:pPr>
              <w:spacing w:after="0" w:line="269" w:lineRule="auto"/>
            </w:pPr>
            <w:r/>
            <w:r>
              <w:rPr>
                <w:rFonts w:ascii="Noto Sans CJK SC" w:hAnsi="Noto Sans CJK SC" w:eastAsia="Noto Sans CJK SC"/>
                <w:b w:val="0"/>
                <w:sz w:val="16"/>
              </w:rPr>
              <w:t>红黄绿风险报告、条款解释、修改建议、法务复核清单。</w:t>
            </w:r>
          </w:p>
        </w:tc>
        <w:tc>
          <w:tcPr>
            <w:tcW w:type="dxa" w:w="2381"/>
            <w:vAlign w:val="center"/>
          </w:tcPr>
          <w:p>
            <w:pPr>
              <w:spacing w:after="0" w:line="269" w:lineRule="auto"/>
            </w:pPr>
            <w:r/>
            <w:r>
              <w:rPr>
                <w:rFonts w:ascii="Noto Sans CJK SC" w:hAnsi="Noto Sans CJK SC" w:eastAsia="Noto Sans CJK SC"/>
                <w:b w:val="0"/>
                <w:sz w:val="16"/>
              </w:rPr>
              <w:t>业务员与客户协商修改；红色风险进入法务或负责人复核。</w:t>
            </w:r>
          </w:p>
        </w:tc>
      </w:tr>
      <w:tr>
        <w:tc>
          <w:tcPr>
            <w:tcW w:type="dxa" w:w="1984"/>
            <w:shd w:fill="F2F6FA"/>
            <w:vAlign w:val="center"/>
          </w:tcPr>
          <w:p>
            <w:pPr>
              <w:spacing w:after="0" w:line="269" w:lineRule="auto"/>
            </w:pPr>
            <w:r/>
            <w:r>
              <w:rPr>
                <w:rFonts w:ascii="Noto Sans CJK SC" w:hAnsi="Noto Sans CJK SC" w:eastAsia="Noto Sans CJK SC"/>
                <w:b/>
                <w:sz w:val="16"/>
              </w:rPr>
              <w:t>履约留痕与证据缺口提醒</w:t>
            </w:r>
          </w:p>
        </w:tc>
        <w:tc>
          <w:tcPr>
            <w:tcW w:type="dxa" w:w="3402"/>
            <w:vAlign w:val="center"/>
          </w:tcPr>
          <w:p>
            <w:pPr>
              <w:spacing w:after="0" w:line="269" w:lineRule="auto"/>
            </w:pPr>
            <w:r/>
            <w:r>
              <w:rPr>
                <w:rFonts w:ascii="Noto Sans CJK SC" w:hAnsi="Noto Sans CJK SC" w:eastAsia="Noto Sans CJK SC"/>
                <w:b w:val="0"/>
                <w:sz w:val="16"/>
              </w:rPr>
              <w:t>生产、验货、发货、收款过程中；输入交期、验货结果、物流单据、付款节点和客户沟通记录。</w:t>
            </w:r>
          </w:p>
        </w:tc>
        <w:tc>
          <w:tcPr>
            <w:tcW w:type="dxa" w:w="2835"/>
            <w:vAlign w:val="center"/>
          </w:tcPr>
          <w:p>
            <w:pPr>
              <w:spacing w:after="0" w:line="269" w:lineRule="auto"/>
            </w:pPr>
            <w:r/>
            <w:r>
              <w:rPr>
                <w:rFonts w:ascii="Noto Sans CJK SC" w:hAnsi="Noto Sans CJK SC" w:eastAsia="Noto Sans CJK SC"/>
                <w:b w:val="0"/>
                <w:sz w:val="16"/>
              </w:rPr>
              <w:t>订单事件时间线、应留存材料清单、证据缺口提示、异常履约提醒。</w:t>
            </w:r>
          </w:p>
        </w:tc>
        <w:tc>
          <w:tcPr>
            <w:tcW w:type="dxa" w:w="2381"/>
            <w:vAlign w:val="center"/>
          </w:tcPr>
          <w:p>
            <w:pPr>
              <w:spacing w:after="0" w:line="269" w:lineRule="auto"/>
            </w:pPr>
            <w:r/>
            <w:r>
              <w:rPr>
                <w:rFonts w:ascii="Noto Sans CJK SC" w:hAnsi="Noto Sans CJK SC" w:eastAsia="Noto Sans CJK SC"/>
                <w:b w:val="0"/>
                <w:sz w:val="16"/>
              </w:rPr>
              <w:t>补充收货确认、催款记录、验货报告、内部审批意见等材料。</w:t>
            </w:r>
          </w:p>
        </w:tc>
      </w:tr>
      <w:tr>
        <w:tc>
          <w:tcPr>
            <w:tcW w:type="dxa" w:w="1984"/>
            <w:shd w:fill="F2F6FA"/>
            <w:vAlign w:val="center"/>
          </w:tcPr>
          <w:p>
            <w:pPr>
              <w:spacing w:after="0" w:line="269" w:lineRule="auto"/>
            </w:pPr>
            <w:r/>
            <w:r>
              <w:rPr>
                <w:rFonts w:ascii="Noto Sans CJK SC" w:hAnsi="Noto Sans CJK SC" w:eastAsia="Noto Sans CJK SC"/>
                <w:b/>
                <w:sz w:val="16"/>
              </w:rPr>
              <w:t>争议证据包导出</w:t>
            </w:r>
          </w:p>
        </w:tc>
        <w:tc>
          <w:tcPr>
            <w:tcW w:type="dxa" w:w="3402"/>
            <w:vAlign w:val="center"/>
          </w:tcPr>
          <w:p>
            <w:pPr>
              <w:spacing w:after="0" w:line="269" w:lineRule="auto"/>
            </w:pPr>
            <w:r/>
            <w:r>
              <w:rPr>
                <w:rFonts w:ascii="Noto Sans CJK SC" w:hAnsi="Noto Sans CJK SC" w:eastAsia="Noto Sans CJK SC"/>
                <w:b w:val="0"/>
                <w:sz w:val="16"/>
              </w:rPr>
              <w:t>客户拒付、质量异议、退货索赔或迟延交货纠纷发生后；输入已留存材料。</w:t>
            </w:r>
          </w:p>
        </w:tc>
        <w:tc>
          <w:tcPr>
            <w:tcW w:type="dxa" w:w="2835"/>
            <w:vAlign w:val="center"/>
          </w:tcPr>
          <w:p>
            <w:pPr>
              <w:spacing w:after="0" w:line="269" w:lineRule="auto"/>
            </w:pPr>
            <w:r/>
            <w:r>
              <w:rPr>
                <w:rFonts w:ascii="Noto Sans CJK SC" w:hAnsi="Noto Sans CJK SC" w:eastAsia="Noto Sans CJK SC"/>
                <w:b w:val="0"/>
                <w:sz w:val="16"/>
              </w:rPr>
              <w:t>事件时间线、证据目录、证明对象、缺失证据、谈判材料摘要。</w:t>
            </w:r>
          </w:p>
        </w:tc>
        <w:tc>
          <w:tcPr>
            <w:tcW w:type="dxa" w:w="2381"/>
            <w:vAlign w:val="center"/>
          </w:tcPr>
          <w:p>
            <w:pPr>
              <w:spacing w:after="0" w:line="269" w:lineRule="auto"/>
            </w:pPr>
            <w:r/>
            <w:r>
              <w:rPr>
                <w:rFonts w:ascii="Noto Sans CJK SC" w:hAnsi="Noto Sans CJK SC" w:eastAsia="Noto Sans CJK SC"/>
                <w:b w:val="0"/>
                <w:sz w:val="16"/>
              </w:rPr>
              <w:t>法务或律师复核后用于谈判、仲裁或诉讼准备。</w:t>
            </w:r>
          </w:p>
        </w:tc>
      </w:tr>
      <w:tr>
        <w:tc>
          <w:tcPr>
            <w:tcW w:type="dxa" w:w="1984"/>
            <w:shd w:fill="F2F6FA"/>
            <w:vAlign w:val="center"/>
          </w:tcPr>
          <w:p>
            <w:pPr>
              <w:spacing w:after="0" w:line="269" w:lineRule="auto"/>
            </w:pPr>
            <w:r/>
            <w:r>
              <w:rPr>
                <w:rFonts w:ascii="Noto Sans CJK SC" w:hAnsi="Noto Sans CJK SC" w:eastAsia="Noto Sans CJK SC"/>
                <w:b/>
                <w:sz w:val="16"/>
              </w:rPr>
              <w:t>客户合作风险基础核验</w:t>
            </w:r>
          </w:p>
        </w:tc>
        <w:tc>
          <w:tcPr>
            <w:tcW w:type="dxa" w:w="3402"/>
            <w:vAlign w:val="center"/>
          </w:tcPr>
          <w:p>
            <w:pPr>
              <w:spacing w:after="0" w:line="269" w:lineRule="auto"/>
            </w:pPr>
            <w:r/>
            <w:r>
              <w:rPr>
                <w:rFonts w:ascii="Noto Sans CJK SC" w:hAnsi="Noto Sans CJK SC" w:eastAsia="Noto Sans CJK SC"/>
                <w:b w:val="0"/>
                <w:sz w:val="16"/>
              </w:rPr>
              <w:t>新客户询盘或首次下单前；输入客户名称、国家、官网、邮箱域名和订单金额。</w:t>
            </w:r>
          </w:p>
        </w:tc>
        <w:tc>
          <w:tcPr>
            <w:tcW w:type="dxa" w:w="2835"/>
            <w:vAlign w:val="center"/>
          </w:tcPr>
          <w:p>
            <w:pPr>
              <w:spacing w:after="0" w:line="269" w:lineRule="auto"/>
            </w:pPr>
            <w:r/>
            <w:r>
              <w:rPr>
                <w:rFonts w:ascii="Noto Sans CJK SC" w:hAnsi="Noto Sans CJK SC" w:eastAsia="Noto Sans CJK SC"/>
                <w:b w:val="0"/>
                <w:sz w:val="16"/>
              </w:rPr>
              <w:t>MVP 阶段仅输出基础核验清单和模拟提示，不做实时信用判断。</w:t>
            </w:r>
          </w:p>
        </w:tc>
        <w:tc>
          <w:tcPr>
            <w:tcW w:type="dxa" w:w="2381"/>
            <w:vAlign w:val="center"/>
          </w:tcPr>
          <w:p>
            <w:pPr>
              <w:spacing w:after="0" w:line="269" w:lineRule="auto"/>
            </w:pPr>
            <w:r/>
            <w:r>
              <w:rPr>
                <w:rFonts w:ascii="Noto Sans CJK SC" w:hAnsi="Noto Sans CJK SC" w:eastAsia="Noto Sans CJK SC"/>
                <w:b w:val="0"/>
                <w:sz w:val="16"/>
              </w:rPr>
              <w:t>业务员补充资料；二期接入企业信息、名单筛查和内部黑名单。</w:t>
            </w:r>
          </w:p>
        </w:tc>
      </w:tr>
    </w:tbl>
    <w:p>
      <w:pPr>
        <w:spacing w:after="40"/>
      </w:pPr>
    </w:p>
    <w:p>
      <w:pPr>
        <w:pStyle w:val="Heading2"/>
        <w:spacing w:before="120" w:after="80"/>
      </w:pPr>
      <w:r>
        <w:rPr>
          <w:rFonts w:ascii="Noto Sans CJK SC" w:hAnsi="Noto Sans CJK SC" w:eastAsia="Noto Sans CJK SC"/>
          <w:b/>
          <w:color w:val="1F4E79"/>
          <w:sz w:val="25"/>
        </w:rPr>
        <w:t>（三）拟解决的核心痛点</w:t>
      </w:r>
    </w:p>
    <w:p>
      <w:pPr>
        <w:pStyle w:val="ListBullet"/>
        <w:spacing w:after="40" w:line="276" w:lineRule="auto"/>
        <w:ind w:left="340"/>
      </w:pPr>
      <w:r>
        <w:rPr>
          <w:rFonts w:ascii="Noto Sans CJK SC" w:hAnsi="Noto Sans CJK SC" w:eastAsia="Noto Sans CJK SC"/>
          <w:sz w:val="20"/>
        </w:rPr>
        <w:t>法律风险识别滞后：中小外贸企业往往在客户拒付或质量争议发生后才发现合同条款不完整。</w:t>
      </w:r>
    </w:p>
    <w:p>
      <w:pPr>
        <w:pStyle w:val="ListBullet"/>
        <w:spacing w:after="40" w:line="276" w:lineRule="auto"/>
        <w:ind w:left="340"/>
      </w:pPr>
      <w:r>
        <w:rPr>
          <w:rFonts w:ascii="Noto Sans CJK SC" w:hAnsi="Noto Sans CJK SC" w:eastAsia="Noto Sans CJK SC"/>
          <w:sz w:val="20"/>
        </w:rPr>
        <w:t>业务与法律协作断层：业务员最了解客户和订单背景，法务最了解风险，但双方缺少同一个订单风险空间。</w:t>
      </w:r>
    </w:p>
    <w:p>
      <w:pPr>
        <w:pStyle w:val="ListBullet"/>
        <w:spacing w:after="40" w:line="276" w:lineRule="auto"/>
        <w:ind w:left="340"/>
      </w:pPr>
      <w:r>
        <w:rPr>
          <w:rFonts w:ascii="Noto Sans CJK SC" w:hAnsi="Noto Sans CJK SC" w:eastAsia="Noto Sans CJK SC"/>
          <w:sz w:val="20"/>
        </w:rPr>
        <w:t>外贸合同具有场景特殊性：付款方式、贸易术语、交货地点、单据控制、质量异议期限和争议解决方式与普通合同不同。</w:t>
      </w:r>
    </w:p>
    <w:p>
      <w:pPr>
        <w:pStyle w:val="ListBullet"/>
        <w:spacing w:after="40" w:line="276" w:lineRule="auto"/>
        <w:ind w:left="340"/>
      </w:pPr>
      <w:r>
        <w:rPr>
          <w:rFonts w:ascii="Noto Sans CJK SC" w:hAnsi="Noto Sans CJK SC" w:eastAsia="Noto Sans CJK SC"/>
          <w:sz w:val="20"/>
        </w:rPr>
        <w:t>证据材料分散：邮件、聊天记录、发票、装箱单、提单、质检报告和收货确认分散保存，后续整理成本高。</w:t>
      </w:r>
    </w:p>
    <w:p>
      <w:pPr>
        <w:pStyle w:val="ListBullet"/>
        <w:spacing w:after="40" w:line="276" w:lineRule="auto"/>
        <w:ind w:left="340"/>
      </w:pPr>
      <w:r>
        <w:rPr>
          <w:rFonts w:ascii="Noto Sans CJK SC" w:hAnsi="Noto Sans CJK SC" w:eastAsia="Noto Sans CJK SC"/>
          <w:sz w:val="20"/>
        </w:rPr>
        <w:t>现有 CRM 和获客工具重在商机和订单进度，较少提供可解释、可复核、可留痕的法律风险判断。</w:t>
      </w:r>
    </w:p>
    <w:p>
      <w:pPr>
        <w:pStyle w:val="Heading1"/>
        <w:spacing w:before="200" w:after="80"/>
      </w:pPr>
      <w:r>
        <w:rPr>
          <w:rFonts w:ascii="Noto Sans CJK SC" w:hAnsi="Noto Sans CJK SC" w:eastAsia="Noto Sans CJK SC"/>
          <w:b/>
          <w:color w:val="1F4E79"/>
          <w:sz w:val="30"/>
        </w:rPr>
        <w:t>四、产品功能设计：一个订单空间、四个核心动作、两个扩展方向</w:t>
      </w:r>
    </w:p>
    <w:p>
      <w:pPr>
        <w:spacing w:after="100" w:line="283" w:lineRule="auto"/>
        <w:ind w:firstLine="420"/>
      </w:pPr>
      <w:r>
        <w:rPr>
          <w:rFonts w:ascii="Noto Sans CJK SC" w:hAnsi="Noto Sans CJK SC" w:eastAsia="Noto Sans CJK SC"/>
          <w:sz w:val="21"/>
        </w:rPr>
        <w:t>优化后的产品结构不再采用“一个平台、三个引擎、四类入口”的复杂表达，而是采用更适合初赛展示和 MVP 开发的结构：一个订单空间、四个核心动作、两个扩展方向。</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71"/>
            <w:shd w:fill="D9EAF7"/>
            <w:vAlign w:val="center"/>
          </w:tcPr>
          <w:p>
            <w:pPr>
              <w:spacing w:after="0" w:line="269" w:lineRule="auto"/>
              <w:jc w:val="center"/>
            </w:pPr>
            <w:r/>
            <w:r>
              <w:rPr>
                <w:rFonts w:ascii="Noto Sans CJK SC" w:hAnsi="Noto Sans CJK SC" w:eastAsia="Noto Sans CJK SC"/>
                <w:b/>
                <w:color w:val="1F4E79"/>
                <w:sz w:val="17"/>
              </w:rPr>
              <w:t>层级</w:t>
            </w:r>
          </w:p>
        </w:tc>
        <w:tc>
          <w:tcPr>
            <w:tcW w:type="dxa" w:w="6520"/>
            <w:shd w:fill="D9EAF7"/>
            <w:vAlign w:val="center"/>
          </w:tcPr>
          <w:p>
            <w:pPr>
              <w:spacing w:after="0" w:line="269" w:lineRule="auto"/>
              <w:jc w:val="center"/>
            </w:pPr>
            <w:r/>
            <w:r>
              <w:rPr>
                <w:rFonts w:ascii="Noto Sans CJK SC" w:hAnsi="Noto Sans CJK SC" w:eastAsia="Noto Sans CJK SC"/>
                <w:b/>
                <w:color w:val="1F4E79"/>
                <w:sz w:val="17"/>
              </w:rPr>
              <w:t>功能表述</w:t>
            </w:r>
          </w:p>
        </w:tc>
        <w:tc>
          <w:tcPr>
            <w:tcW w:type="dxa" w:w="1814"/>
            <w:shd w:fill="D9EAF7"/>
            <w:vAlign w:val="center"/>
          </w:tcPr>
          <w:p>
            <w:pPr>
              <w:spacing w:after="0" w:line="269" w:lineRule="auto"/>
              <w:jc w:val="center"/>
            </w:pPr>
            <w:r/>
            <w:r>
              <w:rPr>
                <w:rFonts w:ascii="Noto Sans CJK SC" w:hAnsi="Noto Sans CJK SC" w:eastAsia="Noto Sans CJK SC"/>
                <w:b/>
                <w:color w:val="1F4E79"/>
                <w:sz w:val="17"/>
              </w:rPr>
              <w:t>MVP 状态</w:t>
            </w:r>
          </w:p>
        </w:tc>
      </w:tr>
      <w:tr>
        <w:tc>
          <w:tcPr>
            <w:tcW w:type="dxa" w:w="1871"/>
            <w:shd w:fill="F2F6FA"/>
            <w:vAlign w:val="center"/>
          </w:tcPr>
          <w:p>
            <w:pPr>
              <w:spacing w:after="0" w:line="269" w:lineRule="auto"/>
            </w:pPr>
            <w:r/>
            <w:r>
              <w:rPr>
                <w:rFonts w:ascii="Noto Sans CJK SC" w:hAnsi="Noto Sans CJK SC" w:eastAsia="Noto Sans CJK SC"/>
                <w:b/>
                <w:sz w:val="17"/>
              </w:rPr>
              <w:t>一个订单空间</w:t>
            </w:r>
          </w:p>
        </w:tc>
        <w:tc>
          <w:tcPr>
            <w:tcW w:type="dxa" w:w="6520"/>
            <w:vAlign w:val="center"/>
          </w:tcPr>
          <w:p>
            <w:pPr>
              <w:spacing w:after="0" w:line="269" w:lineRule="auto"/>
            </w:pPr>
            <w:r/>
            <w:r>
              <w:rPr>
                <w:rFonts w:ascii="Noto Sans CJK SC" w:hAnsi="Noto Sans CJK SC" w:eastAsia="Noto Sans CJK SC"/>
                <w:b w:val="0"/>
                <w:sz w:val="17"/>
              </w:rPr>
              <w:t>每笔外贸订单都有独立空间，集中放合同、PO、PI、聊天摘要、单据、风险报告和复核意见。</w:t>
            </w:r>
          </w:p>
        </w:tc>
        <w:tc>
          <w:tcPr>
            <w:tcW w:type="dxa" w:w="1814"/>
            <w:vAlign w:val="center"/>
          </w:tcPr>
          <w:p>
            <w:pPr>
              <w:spacing w:after="0" w:line="269" w:lineRule="auto"/>
            </w:pPr>
            <w:r/>
            <w:r>
              <w:rPr>
                <w:rFonts w:ascii="Noto Sans CJK SC" w:hAnsi="Noto Sans CJK SC" w:eastAsia="Noto Sans CJK SC"/>
                <w:b w:val="0"/>
                <w:sz w:val="17"/>
              </w:rPr>
              <w:t>做</w:t>
            </w:r>
          </w:p>
        </w:tc>
      </w:tr>
      <w:tr>
        <w:tc>
          <w:tcPr>
            <w:tcW w:type="dxa" w:w="1871"/>
            <w:shd w:fill="F2F6FA"/>
            <w:vAlign w:val="center"/>
          </w:tcPr>
          <w:p>
            <w:pPr>
              <w:spacing w:after="0" w:line="269" w:lineRule="auto"/>
            </w:pPr>
            <w:r/>
            <w:r>
              <w:rPr>
                <w:rFonts w:ascii="Noto Sans CJK SC" w:hAnsi="Noto Sans CJK SC" w:eastAsia="Noto Sans CJK SC"/>
                <w:b/>
                <w:sz w:val="17"/>
              </w:rPr>
              <w:t>签约前审查</w:t>
            </w:r>
          </w:p>
        </w:tc>
        <w:tc>
          <w:tcPr>
            <w:tcW w:type="dxa" w:w="6520"/>
            <w:vAlign w:val="center"/>
          </w:tcPr>
          <w:p>
            <w:pPr>
              <w:spacing w:after="0" w:line="269" w:lineRule="auto"/>
            </w:pPr>
            <w:r/>
            <w:r>
              <w:rPr>
                <w:rFonts w:ascii="Noto Sans CJK SC" w:hAnsi="Noto Sans CJK SC" w:eastAsia="Noto Sans CJK SC"/>
                <w:b w:val="0"/>
                <w:sz w:val="17"/>
              </w:rPr>
              <w:t>审查付款、交货、验货、质量、违约、争议解决、贸易术语等条款。</w:t>
            </w:r>
          </w:p>
        </w:tc>
        <w:tc>
          <w:tcPr>
            <w:tcW w:type="dxa" w:w="1814"/>
            <w:vAlign w:val="center"/>
          </w:tcPr>
          <w:p>
            <w:pPr>
              <w:spacing w:after="0" w:line="269" w:lineRule="auto"/>
            </w:pPr>
            <w:r/>
            <w:r>
              <w:rPr>
                <w:rFonts w:ascii="Noto Sans CJK SC" w:hAnsi="Noto Sans CJK SC" w:eastAsia="Noto Sans CJK SC"/>
                <w:b w:val="0"/>
                <w:sz w:val="17"/>
              </w:rPr>
              <w:t>做</w:t>
            </w:r>
          </w:p>
        </w:tc>
      </w:tr>
      <w:tr>
        <w:tc>
          <w:tcPr>
            <w:tcW w:type="dxa" w:w="1871"/>
            <w:shd w:fill="F2F6FA"/>
            <w:vAlign w:val="center"/>
          </w:tcPr>
          <w:p>
            <w:pPr>
              <w:spacing w:after="0" w:line="269" w:lineRule="auto"/>
            </w:pPr>
            <w:r/>
            <w:r>
              <w:rPr>
                <w:rFonts w:ascii="Noto Sans CJK SC" w:hAnsi="Noto Sans CJK SC" w:eastAsia="Noto Sans CJK SC"/>
                <w:b/>
                <w:sz w:val="17"/>
              </w:rPr>
              <w:t>履约留痕</w:t>
            </w:r>
          </w:p>
        </w:tc>
        <w:tc>
          <w:tcPr>
            <w:tcW w:type="dxa" w:w="6520"/>
            <w:vAlign w:val="center"/>
          </w:tcPr>
          <w:p>
            <w:pPr>
              <w:spacing w:after="0" w:line="269" w:lineRule="auto"/>
            </w:pPr>
            <w:r/>
            <w:r>
              <w:rPr>
                <w:rFonts w:ascii="Noto Sans CJK SC" w:hAnsi="Noto Sans CJK SC" w:eastAsia="Noto Sans CJK SC"/>
                <w:b w:val="0"/>
                <w:sz w:val="17"/>
              </w:rPr>
              <w:t>按生产、验货、发货、收款节点提示需要保存哪些材料。</w:t>
            </w:r>
          </w:p>
        </w:tc>
        <w:tc>
          <w:tcPr>
            <w:tcW w:type="dxa" w:w="1814"/>
            <w:vAlign w:val="center"/>
          </w:tcPr>
          <w:p>
            <w:pPr>
              <w:spacing w:after="0" w:line="269" w:lineRule="auto"/>
            </w:pPr>
            <w:r/>
            <w:r>
              <w:rPr>
                <w:rFonts w:ascii="Noto Sans CJK SC" w:hAnsi="Noto Sans CJK SC" w:eastAsia="Noto Sans CJK SC"/>
                <w:b w:val="0"/>
                <w:sz w:val="17"/>
              </w:rPr>
              <w:t>做轻量版</w:t>
            </w:r>
          </w:p>
        </w:tc>
      </w:tr>
      <w:tr>
        <w:tc>
          <w:tcPr>
            <w:tcW w:type="dxa" w:w="1871"/>
            <w:shd w:fill="F2F6FA"/>
            <w:vAlign w:val="center"/>
          </w:tcPr>
          <w:p>
            <w:pPr>
              <w:spacing w:after="0" w:line="269" w:lineRule="auto"/>
            </w:pPr>
            <w:r/>
            <w:r>
              <w:rPr>
                <w:rFonts w:ascii="Noto Sans CJK SC" w:hAnsi="Noto Sans CJK SC" w:eastAsia="Noto Sans CJK SC"/>
                <w:b/>
                <w:sz w:val="17"/>
              </w:rPr>
              <w:t>人工复核</w:t>
            </w:r>
          </w:p>
        </w:tc>
        <w:tc>
          <w:tcPr>
            <w:tcW w:type="dxa" w:w="6520"/>
            <w:vAlign w:val="center"/>
          </w:tcPr>
          <w:p>
            <w:pPr>
              <w:spacing w:after="0" w:line="269" w:lineRule="auto"/>
            </w:pPr>
            <w:r/>
            <w:r>
              <w:rPr>
                <w:rFonts w:ascii="Noto Sans CJK SC" w:hAnsi="Noto Sans CJK SC" w:eastAsia="Noto Sans CJK SC"/>
                <w:b w:val="0"/>
                <w:sz w:val="17"/>
              </w:rPr>
              <w:t>高风险事项推送给法务、律师或负责人复核，并保留意见和版本记录。</w:t>
            </w:r>
          </w:p>
        </w:tc>
        <w:tc>
          <w:tcPr>
            <w:tcW w:type="dxa" w:w="1814"/>
            <w:vAlign w:val="center"/>
          </w:tcPr>
          <w:p>
            <w:pPr>
              <w:spacing w:after="0" w:line="269" w:lineRule="auto"/>
            </w:pPr>
            <w:r/>
            <w:r>
              <w:rPr>
                <w:rFonts w:ascii="Noto Sans CJK SC" w:hAnsi="Noto Sans CJK SC" w:eastAsia="Noto Sans CJK SC"/>
                <w:b w:val="0"/>
                <w:sz w:val="17"/>
              </w:rPr>
              <w:t>做</w:t>
            </w:r>
          </w:p>
        </w:tc>
      </w:tr>
      <w:tr>
        <w:tc>
          <w:tcPr>
            <w:tcW w:type="dxa" w:w="1871"/>
            <w:shd w:fill="F2F6FA"/>
            <w:vAlign w:val="center"/>
          </w:tcPr>
          <w:p>
            <w:pPr>
              <w:spacing w:after="0" w:line="269" w:lineRule="auto"/>
            </w:pPr>
            <w:r/>
            <w:r>
              <w:rPr>
                <w:rFonts w:ascii="Noto Sans CJK SC" w:hAnsi="Noto Sans CJK SC" w:eastAsia="Noto Sans CJK SC"/>
                <w:b/>
                <w:sz w:val="17"/>
              </w:rPr>
              <w:t>报告导出</w:t>
            </w:r>
          </w:p>
        </w:tc>
        <w:tc>
          <w:tcPr>
            <w:tcW w:type="dxa" w:w="6520"/>
            <w:vAlign w:val="center"/>
          </w:tcPr>
          <w:p>
            <w:pPr>
              <w:spacing w:after="0" w:line="269" w:lineRule="auto"/>
            </w:pPr>
            <w:r/>
            <w:r>
              <w:rPr>
                <w:rFonts w:ascii="Noto Sans CJK SC" w:hAnsi="Noto Sans CJK SC" w:eastAsia="Noto Sans CJK SC"/>
                <w:b w:val="0"/>
                <w:sz w:val="17"/>
              </w:rPr>
              <w:t>输出业务员版、负责人版、法务版和证据包摘要。</w:t>
            </w:r>
          </w:p>
        </w:tc>
        <w:tc>
          <w:tcPr>
            <w:tcW w:type="dxa" w:w="1814"/>
            <w:vAlign w:val="center"/>
          </w:tcPr>
          <w:p>
            <w:pPr>
              <w:spacing w:after="0" w:line="269" w:lineRule="auto"/>
            </w:pPr>
            <w:r/>
            <w:r>
              <w:rPr>
                <w:rFonts w:ascii="Noto Sans CJK SC" w:hAnsi="Noto Sans CJK SC" w:eastAsia="Noto Sans CJK SC"/>
                <w:b w:val="0"/>
                <w:sz w:val="17"/>
              </w:rPr>
              <w:t>做</w:t>
            </w:r>
          </w:p>
        </w:tc>
      </w:tr>
      <w:tr>
        <w:tc>
          <w:tcPr>
            <w:tcW w:type="dxa" w:w="1871"/>
            <w:shd w:fill="F2F6FA"/>
            <w:vAlign w:val="center"/>
          </w:tcPr>
          <w:p>
            <w:pPr>
              <w:spacing w:after="0" w:line="269" w:lineRule="auto"/>
            </w:pPr>
            <w:r/>
            <w:r>
              <w:rPr>
                <w:rFonts w:ascii="Noto Sans CJK SC" w:hAnsi="Noto Sans CJK SC" w:eastAsia="Noto Sans CJK SC"/>
                <w:b/>
                <w:sz w:val="17"/>
              </w:rPr>
              <w:t>客户初筛</w:t>
            </w:r>
          </w:p>
        </w:tc>
        <w:tc>
          <w:tcPr>
            <w:tcW w:type="dxa" w:w="6520"/>
            <w:vAlign w:val="center"/>
          </w:tcPr>
          <w:p>
            <w:pPr>
              <w:spacing w:after="0" w:line="269" w:lineRule="auto"/>
            </w:pPr>
            <w:r/>
            <w:r>
              <w:rPr>
                <w:rFonts w:ascii="Noto Sans CJK SC" w:hAnsi="Noto Sans CJK SC" w:eastAsia="Noto Sans CJK SC"/>
                <w:b w:val="0"/>
                <w:sz w:val="17"/>
              </w:rPr>
              <w:t>企业信息、制裁名单、负面舆情、内部黑名单等。</w:t>
            </w:r>
          </w:p>
        </w:tc>
        <w:tc>
          <w:tcPr>
            <w:tcW w:type="dxa" w:w="1814"/>
            <w:vAlign w:val="center"/>
          </w:tcPr>
          <w:p>
            <w:pPr>
              <w:spacing w:after="0" w:line="269" w:lineRule="auto"/>
            </w:pPr>
            <w:r/>
            <w:r>
              <w:rPr>
                <w:rFonts w:ascii="Noto Sans CJK SC" w:hAnsi="Noto Sans CJK SC" w:eastAsia="Noto Sans CJK SC"/>
                <w:b w:val="0"/>
                <w:sz w:val="17"/>
              </w:rPr>
              <w:t>二期</w:t>
            </w:r>
          </w:p>
        </w:tc>
      </w:tr>
      <w:tr>
        <w:tc>
          <w:tcPr>
            <w:tcW w:type="dxa" w:w="1871"/>
            <w:shd w:fill="F2F6FA"/>
            <w:vAlign w:val="center"/>
          </w:tcPr>
          <w:p>
            <w:pPr>
              <w:spacing w:after="0" w:line="269" w:lineRule="auto"/>
            </w:pPr>
            <w:r/>
            <w:r>
              <w:rPr>
                <w:rFonts w:ascii="Noto Sans CJK SC" w:hAnsi="Noto Sans CJK SC" w:eastAsia="Noto Sans CJK SC"/>
                <w:b/>
                <w:sz w:val="17"/>
              </w:rPr>
              <w:t>API/CRM 接入</w:t>
            </w:r>
          </w:p>
        </w:tc>
        <w:tc>
          <w:tcPr>
            <w:tcW w:type="dxa" w:w="6520"/>
            <w:vAlign w:val="center"/>
          </w:tcPr>
          <w:p>
            <w:pPr>
              <w:spacing w:after="0" w:line="269" w:lineRule="auto"/>
            </w:pPr>
            <w:r/>
            <w:r>
              <w:rPr>
                <w:rFonts w:ascii="Noto Sans CJK SC" w:hAnsi="Noto Sans CJK SC" w:eastAsia="Noto Sans CJK SC"/>
                <w:b w:val="0"/>
                <w:sz w:val="17"/>
              </w:rPr>
              <w:t>接入外贸 CRM、ERP、聊天平台、订单管理系统。</w:t>
            </w:r>
          </w:p>
        </w:tc>
        <w:tc>
          <w:tcPr>
            <w:tcW w:type="dxa" w:w="1814"/>
            <w:vAlign w:val="center"/>
          </w:tcPr>
          <w:p>
            <w:pPr>
              <w:spacing w:after="0" w:line="269" w:lineRule="auto"/>
            </w:pPr>
            <w:r/>
            <w:r>
              <w:rPr>
                <w:rFonts w:ascii="Noto Sans CJK SC" w:hAnsi="Noto Sans CJK SC" w:eastAsia="Noto Sans CJK SC"/>
                <w:b w:val="0"/>
                <w:sz w:val="17"/>
              </w:rPr>
              <w:t>发展潜力</w:t>
            </w:r>
          </w:p>
        </w:tc>
      </w:tr>
    </w:tbl>
    <w:p>
      <w:pPr>
        <w:spacing w:after="40"/>
      </w:pPr>
    </w:p>
    <w:p>
      <w:pPr>
        <w:pStyle w:val="Heading2"/>
        <w:spacing w:before="120" w:after="80"/>
      </w:pPr>
      <w:r>
        <w:rPr>
          <w:rFonts w:ascii="Noto Sans CJK SC" w:hAnsi="Noto Sans CJK SC" w:eastAsia="Noto Sans CJK SC"/>
          <w:b/>
          <w:color w:val="1F4E79"/>
          <w:sz w:val="25"/>
        </w:rPr>
        <w:t>（一）订单空间</w:t>
      </w:r>
    </w:p>
    <w:p>
      <w:pPr>
        <w:spacing w:after="100" w:line="283" w:lineRule="auto"/>
        <w:ind w:firstLine="420"/>
      </w:pPr>
      <w:r>
        <w:rPr>
          <w:rFonts w:ascii="Noto Sans CJK SC" w:hAnsi="Noto Sans CJK SC" w:eastAsia="Noto Sans CJK SC"/>
          <w:sz w:val="21"/>
        </w:rPr>
        <w:t>订单空间是 TradeLaw AI 的核心协作单元。每个订单空间至少包括订单信息卡片、材料区、风险报告区、复核区和导出区。业务员可以上传或粘贴合同、PO、PI、聊天记录摘要、发票、装箱单、提单、质检报告等材料；系统自动抽取主体、金额、付款节点、贸易术语、交货期限、目的国和争议解决条款等关键字段。</w:t>
      </w:r>
    </w:p>
    <w:p>
      <w:pPr>
        <w:pStyle w:val="ListBullet"/>
        <w:spacing w:after="40" w:line="276" w:lineRule="auto"/>
        <w:ind w:left="340"/>
      </w:pPr>
      <w:r>
        <w:rPr>
          <w:rFonts w:ascii="Noto Sans CJK SC" w:hAnsi="Noto Sans CJK SC" w:eastAsia="Noto Sans CJK SC"/>
          <w:sz w:val="20"/>
        </w:rPr>
        <w:t>订单信息卡片：展示买卖方、目的国、金额、产品、付款方式、贸易术语、交期和风险等级。</w:t>
      </w:r>
    </w:p>
    <w:p>
      <w:pPr>
        <w:pStyle w:val="ListBullet"/>
        <w:spacing w:after="40" w:line="276" w:lineRule="auto"/>
        <w:ind w:left="340"/>
      </w:pPr>
      <w:r>
        <w:rPr>
          <w:rFonts w:ascii="Noto Sans CJK SC" w:hAnsi="Noto Sans CJK SC" w:eastAsia="Noto Sans CJK SC"/>
          <w:sz w:val="20"/>
        </w:rPr>
        <w:t>材料区：集中管理合同、PO、PI、单据和聊天摘要，支持标记“已确认”“待补充”“争议材料”。</w:t>
      </w:r>
    </w:p>
    <w:p>
      <w:pPr>
        <w:pStyle w:val="ListBullet"/>
        <w:spacing w:after="40" w:line="276" w:lineRule="auto"/>
        <w:ind w:left="340"/>
      </w:pPr>
      <w:r>
        <w:rPr>
          <w:rFonts w:ascii="Noto Sans CJK SC" w:hAnsi="Noto Sans CJK SC" w:eastAsia="Noto Sans CJK SC"/>
          <w:sz w:val="20"/>
        </w:rPr>
        <w:t>复核区：法务、律师或负责人对高风险事项进行确认、修改、接受或驳回。</w:t>
      </w:r>
    </w:p>
    <w:p>
      <w:pPr>
        <w:pStyle w:val="ListBullet"/>
        <w:spacing w:after="40" w:line="276" w:lineRule="auto"/>
        <w:ind w:left="340"/>
      </w:pPr>
      <w:r>
        <w:rPr>
          <w:rFonts w:ascii="Noto Sans CJK SC" w:hAnsi="Noto Sans CJK SC" w:eastAsia="Noto Sans CJK SC"/>
          <w:sz w:val="20"/>
        </w:rPr>
        <w:t>导出区：生成风险报告、负责人摘要和争议证据包。</w:t>
      </w:r>
    </w:p>
    <w:p>
      <w:pPr>
        <w:pStyle w:val="Heading2"/>
        <w:spacing w:before="120" w:after="80"/>
      </w:pPr>
      <w:r>
        <w:rPr>
          <w:rFonts w:ascii="Noto Sans CJK SC" w:hAnsi="Noto Sans CJK SC" w:eastAsia="Noto Sans CJK SC"/>
          <w:b/>
          <w:color w:val="1F4E79"/>
          <w:sz w:val="25"/>
        </w:rPr>
        <w:t>（二）签约前合同/PO/PI 风险审查</w:t>
      </w:r>
    </w:p>
    <w:p>
      <w:pPr>
        <w:spacing w:after="100" w:line="283" w:lineRule="auto"/>
        <w:ind w:firstLine="420"/>
      </w:pPr>
      <w:r>
        <w:rPr>
          <w:rFonts w:ascii="Noto Sans CJK SC" w:hAnsi="Noto Sans CJK SC" w:eastAsia="Noto Sans CJK SC"/>
          <w:sz w:val="21"/>
        </w:rPr>
        <w:t>该模块是 MVP 的核心功能。系统对英文合同、采购订单、形式发票、销售确认书等材料进行文本理解和规则匹配，识别付款、交货、验货、质量、违约责任、争议解决、不可抗力、知识产权、保密和贸易术语等条款风险。</w:t>
      </w:r>
    </w:p>
    <w:p>
      <w:pPr>
        <w:spacing w:after="100" w:line="283" w:lineRule="auto"/>
        <w:ind w:firstLine="420"/>
      </w:pPr>
      <w:r>
        <w:rPr>
          <w:rFonts w:ascii="Noto Sans CJK SC" w:hAnsi="Noto Sans CJK SC" w:eastAsia="Noto Sans CJK SC"/>
          <w:sz w:val="21"/>
        </w:rPr>
        <w:t>系统输出不应只给出“有风险”结论，而应保留原文条款、风险类型、风险等级、业务解释、修改建议和是否需要人工复核。例如，买方提出“balance paid after arrival”时，系统应说明货物离境后卖方控制力下降、追偿成本增加，并建议改为发货前付清尾款、凭提单副本付款、信用证付款或补充逾期付款责任。</w:t>
      </w:r>
    </w:p>
    <w:p>
      <w:pPr>
        <w:pStyle w:val="Heading2"/>
        <w:spacing w:before="120" w:after="80"/>
      </w:pPr>
      <w:r>
        <w:rPr>
          <w:rFonts w:ascii="Noto Sans CJK SC" w:hAnsi="Noto Sans CJK SC" w:eastAsia="Noto Sans CJK SC"/>
          <w:b/>
          <w:color w:val="1F4E79"/>
          <w:sz w:val="25"/>
        </w:rPr>
        <w:t>（三）履约留痕与争议证据包</w:t>
      </w:r>
    </w:p>
    <w:p>
      <w:pPr>
        <w:spacing w:after="100" w:line="283" w:lineRule="auto"/>
        <w:ind w:firstLine="420"/>
      </w:pPr>
      <w:r>
        <w:rPr>
          <w:rFonts w:ascii="Noto Sans CJK SC" w:hAnsi="Noto Sans CJK SC" w:eastAsia="Noto Sans CJK SC"/>
          <w:sz w:val="21"/>
        </w:rPr>
        <w:t>该模块将原方案中的“履约过程风险提醒”和“争议证据链整理”合并为同一功能。它的逻辑是：同一个订单空间，平时用于履约材料留痕；一旦发生拒付、质量异议、退货索赔或迟延交货纠纷，系统直接把已保存的材料转换为事件时间线、证据清单和缺失证据提示。</w:t>
      </w:r>
    </w:p>
    <w:tbl>
      <w:tblPr>
        <w:tblW w:type="auto" w:w="0"/>
        <w:jc w:val="center"/>
        <w:tblLook w:firstColumn="1" w:firstRow="1" w:lastColumn="0" w:lastRow="0" w:noHBand="0" w:noVBand="1" w:val="04A0"/>
        <w:tblBorders>
          <w:top w:val="single" w:sz="6" w:space="0" w:color="D6EAF8"/>
          <w:left w:val="single" w:sz="6" w:space="0" w:color="D6EAF8"/>
          <w:bottom w:val="single" w:sz="6" w:space="0" w:color="D6EAF8"/>
          <w:right w:val="single" w:sz="6" w:space="0" w:color="D6EAF8"/>
          <w:insideH w:val="single" w:sz="6" w:space="0" w:color="D6EAF8"/>
          <w:insideV w:val="single" w:sz="6" w:space="0" w:color="D6EAF8"/>
        </w:tblBorders>
      </w:tblPr>
      <w:tblGrid>
        <w:gridCol w:w="9922"/>
      </w:tblGrid>
      <w:tr>
        <w:tc>
          <w:tcPr>
            <w:tcW w:type="dxa" w:w="9922"/>
            <w:shd w:fill="EAF2F8"/>
          </w:tcPr>
          <w:p>
            <w:pPr>
              <w:spacing w:after="40"/>
            </w:pPr>
            <w:r>
              <w:rPr>
                <w:rFonts w:ascii="Noto Sans CJK SC" w:hAnsi="Noto Sans CJK SC" w:eastAsia="Noto Sans CJK SC"/>
                <w:b/>
                <w:color w:val="1F4E79"/>
                <w:sz w:val="22"/>
              </w:rPr>
              <w:t>连续流程</w:t>
            </w:r>
          </w:p>
          <w:p>
            <w:pPr>
              <w:spacing w:line="276" w:lineRule="auto" w:after="20"/>
            </w:pPr>
            <w:r>
              <w:rPr>
                <w:rFonts w:ascii="Noto Sans CJK SC" w:hAnsi="Noto Sans CJK SC" w:eastAsia="Noto Sans CJK SC"/>
                <w:sz w:val="20"/>
              </w:rPr>
              <w:t>订单建档 → 合同/PO 审查 → 履约节点留痕 → 证据缺口提醒 → 争议发生后导出证据包。</w:t>
            </w:r>
          </w:p>
        </w:tc>
      </w:tr>
    </w:tbl>
    <w:p>
      <w:pPr>
        <w:spacing w:after="60"/>
      </w:pPr>
    </w:p>
    <w:p>
      <w:pPr>
        <w:spacing w:after="100" w:line="283" w:lineRule="auto"/>
        <w:ind w:firstLine="420"/>
      </w:pPr>
      <w:r>
        <w:rPr>
          <w:rFonts w:ascii="Noto Sans CJK SC" w:hAnsi="Noto Sans CJK SC" w:eastAsia="Noto Sans CJK SC"/>
          <w:sz w:val="21"/>
        </w:rPr>
        <w:t>这种设计更符合企业真实工作方式。企业不是纠纷发生后才整理证据，而是从签约、生产、验货、发货、收款开始就应该保存关键材料。MVP 阶段可以先做轻量版：不接真实邮箱或聊天平台，只允许用户上传模拟聊天摘要、邮件截图或文本材料，并生成时间线。</w:t>
      </w:r>
    </w:p>
    <w:p>
      <w:pPr>
        <w:pStyle w:val="Heading2"/>
        <w:spacing w:before="120" w:after="80"/>
      </w:pPr>
      <w:r>
        <w:rPr>
          <w:rFonts w:ascii="Noto Sans CJK SC" w:hAnsi="Noto Sans CJK SC" w:eastAsia="Noto Sans CJK SC"/>
          <w:b/>
          <w:color w:val="1F4E79"/>
          <w:sz w:val="25"/>
        </w:rPr>
        <w:t>（四）人工复核与协作留痕</w:t>
      </w:r>
    </w:p>
    <w:p>
      <w:pPr>
        <w:spacing w:after="100" w:line="283" w:lineRule="auto"/>
        <w:ind w:firstLine="420"/>
      </w:pPr>
      <w:r>
        <w:rPr>
          <w:rFonts w:ascii="Noto Sans CJK SC" w:hAnsi="Noto Sans CJK SC" w:eastAsia="Noto Sans CJK SC"/>
          <w:sz w:val="21"/>
        </w:rPr>
        <w:t>法律 AI 产品不能只输出模型判断，还必须设置人工复核节点。系统将红色风险、重大金额订单、首次合作客户、争议解决条款、适用法律条款、DDP 或目的国清关责任等事项自动推送给法务、外部律师或负责人。复核人可以选择“接受风险”“要求修改”“补充条款”“暂停交易”或“转律师处理”，并留下意见。</w:t>
      </w:r>
    </w:p>
    <w:p>
      <w:pPr>
        <w:spacing w:after="100" w:line="283" w:lineRule="auto"/>
        <w:ind w:firstLine="420"/>
      </w:pPr>
      <w:r>
        <w:rPr>
          <w:rFonts w:ascii="Noto Sans CJK SC" w:hAnsi="Noto Sans CJK SC" w:eastAsia="Noto Sans CJK SC"/>
          <w:sz w:val="21"/>
        </w:rPr>
        <w:t>复核意见将反向沉淀为企业规则资产。例如某企业规定“首次合作客户不得接受到港后付尾款”，后续相同风险出现时系统可直接触发更高等级提醒。</w:t>
      </w:r>
    </w:p>
    <w:p>
      <w:pPr>
        <w:pStyle w:val="Heading2"/>
        <w:spacing w:before="120" w:after="80"/>
      </w:pPr>
      <w:r>
        <w:rPr>
          <w:rFonts w:ascii="Noto Sans CJK SC" w:hAnsi="Noto Sans CJK SC" w:eastAsia="Noto Sans CJK SC"/>
          <w:b/>
          <w:color w:val="1F4E79"/>
          <w:sz w:val="25"/>
        </w:rPr>
        <w:t>（五）报告导出</w:t>
      </w:r>
    </w:p>
    <w:p>
      <w:pPr>
        <w:spacing w:after="100" w:line="283" w:lineRule="auto"/>
        <w:ind w:firstLine="420"/>
      </w:pPr>
      <w:r>
        <w:rPr>
          <w:rFonts w:ascii="Noto Sans CJK SC" w:hAnsi="Noto Sans CJK SC" w:eastAsia="Noto Sans CJK SC"/>
          <w:sz w:val="21"/>
        </w:rPr>
        <w:t>报告导出是初赛展示的重点成果物。建议至少准备三种报告视角：业务员版强调风险含义和客户沟通建议；负责人版强调红色风险、利润与回款影响、待决策事项；法务版保留原文条款、规则来源、人工复核入口和修改记录。争议场景下可导出证据包摘要。</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71"/>
            <w:shd w:fill="D9EAF7"/>
            <w:vAlign w:val="center"/>
          </w:tcPr>
          <w:p>
            <w:pPr>
              <w:spacing w:after="0" w:line="269" w:lineRule="auto"/>
              <w:jc w:val="center"/>
            </w:pPr>
            <w:r/>
            <w:r>
              <w:rPr>
                <w:rFonts w:ascii="Noto Sans CJK SC" w:hAnsi="Noto Sans CJK SC" w:eastAsia="Noto Sans CJK SC"/>
                <w:b/>
                <w:color w:val="1F4E79"/>
                <w:sz w:val="17"/>
              </w:rPr>
              <w:t>报告类型</w:t>
            </w:r>
          </w:p>
        </w:tc>
        <w:tc>
          <w:tcPr>
            <w:tcW w:type="dxa" w:w="4819"/>
            <w:shd w:fill="D9EAF7"/>
            <w:vAlign w:val="center"/>
          </w:tcPr>
          <w:p>
            <w:pPr>
              <w:spacing w:after="0" w:line="269" w:lineRule="auto"/>
              <w:jc w:val="center"/>
            </w:pPr>
            <w:r/>
            <w:r>
              <w:rPr>
                <w:rFonts w:ascii="Noto Sans CJK SC" w:hAnsi="Noto Sans CJK SC" w:eastAsia="Noto Sans CJK SC"/>
                <w:b/>
                <w:color w:val="1F4E79"/>
                <w:sz w:val="17"/>
              </w:rPr>
              <w:t>主要内容</w:t>
            </w:r>
          </w:p>
        </w:tc>
        <w:tc>
          <w:tcPr>
            <w:tcW w:type="dxa" w:w="3402"/>
            <w:shd w:fill="D9EAF7"/>
            <w:vAlign w:val="center"/>
          </w:tcPr>
          <w:p>
            <w:pPr>
              <w:spacing w:after="0" w:line="269" w:lineRule="auto"/>
              <w:jc w:val="center"/>
            </w:pPr>
            <w:r/>
            <w:r>
              <w:rPr>
                <w:rFonts w:ascii="Noto Sans CJK SC" w:hAnsi="Noto Sans CJK SC" w:eastAsia="Noto Sans CJK SC"/>
                <w:b/>
                <w:color w:val="1F4E79"/>
                <w:sz w:val="17"/>
              </w:rPr>
              <w:t>展示价值</w:t>
            </w:r>
          </w:p>
        </w:tc>
      </w:tr>
      <w:tr>
        <w:tc>
          <w:tcPr>
            <w:tcW w:type="dxa" w:w="1871"/>
            <w:shd w:fill="F2F6FA"/>
            <w:vAlign w:val="center"/>
          </w:tcPr>
          <w:p>
            <w:pPr>
              <w:spacing w:after="0" w:line="269" w:lineRule="auto"/>
            </w:pPr>
            <w:r/>
            <w:r>
              <w:rPr>
                <w:rFonts w:ascii="Noto Sans CJK SC" w:hAnsi="Noto Sans CJK SC" w:eastAsia="Noto Sans CJK SC"/>
                <w:b/>
                <w:sz w:val="17"/>
              </w:rPr>
              <w:t>业务员版</w:t>
            </w:r>
          </w:p>
        </w:tc>
        <w:tc>
          <w:tcPr>
            <w:tcW w:type="dxa" w:w="4819"/>
            <w:vAlign w:val="center"/>
          </w:tcPr>
          <w:p>
            <w:pPr>
              <w:spacing w:after="0" w:line="269" w:lineRule="auto"/>
            </w:pPr>
            <w:r/>
            <w:r>
              <w:rPr>
                <w:rFonts w:ascii="Noto Sans CJK SC" w:hAnsi="Noto Sans CJK SC" w:eastAsia="Noto Sans CJK SC"/>
                <w:b w:val="0"/>
                <w:sz w:val="17"/>
              </w:rPr>
              <w:t>中文风险解释、客户沟通话术、建议修改方向。</w:t>
            </w:r>
          </w:p>
        </w:tc>
        <w:tc>
          <w:tcPr>
            <w:tcW w:type="dxa" w:w="3402"/>
            <w:vAlign w:val="center"/>
          </w:tcPr>
          <w:p>
            <w:pPr>
              <w:spacing w:after="0" w:line="269" w:lineRule="auto"/>
            </w:pPr>
            <w:r/>
            <w:r>
              <w:rPr>
                <w:rFonts w:ascii="Noto Sans CJK SC" w:hAnsi="Noto Sans CJK SC" w:eastAsia="Noto Sans CJK SC"/>
                <w:b w:val="0"/>
                <w:sz w:val="17"/>
              </w:rPr>
              <w:t>让非法律背景用户能看懂、能沟通。</w:t>
            </w:r>
          </w:p>
        </w:tc>
      </w:tr>
      <w:tr>
        <w:tc>
          <w:tcPr>
            <w:tcW w:type="dxa" w:w="1871"/>
            <w:shd w:fill="F2F6FA"/>
            <w:vAlign w:val="center"/>
          </w:tcPr>
          <w:p>
            <w:pPr>
              <w:spacing w:after="0" w:line="269" w:lineRule="auto"/>
            </w:pPr>
            <w:r/>
            <w:r>
              <w:rPr>
                <w:rFonts w:ascii="Noto Sans CJK SC" w:hAnsi="Noto Sans CJK SC" w:eastAsia="Noto Sans CJK SC"/>
                <w:b/>
                <w:sz w:val="17"/>
              </w:rPr>
              <w:t>负责人版</w:t>
            </w:r>
          </w:p>
        </w:tc>
        <w:tc>
          <w:tcPr>
            <w:tcW w:type="dxa" w:w="4819"/>
            <w:vAlign w:val="center"/>
          </w:tcPr>
          <w:p>
            <w:pPr>
              <w:spacing w:after="0" w:line="269" w:lineRule="auto"/>
            </w:pPr>
            <w:r/>
            <w:r>
              <w:rPr>
                <w:rFonts w:ascii="Noto Sans CJK SC" w:hAnsi="Noto Sans CJK SC" w:eastAsia="Noto Sans CJK SC"/>
                <w:b w:val="0"/>
                <w:sz w:val="17"/>
              </w:rPr>
              <w:t>订单风险摘要、红色风险、建议决策、待复核事项。</w:t>
            </w:r>
          </w:p>
        </w:tc>
        <w:tc>
          <w:tcPr>
            <w:tcW w:type="dxa" w:w="3402"/>
            <w:vAlign w:val="center"/>
          </w:tcPr>
          <w:p>
            <w:pPr>
              <w:spacing w:after="0" w:line="269" w:lineRule="auto"/>
            </w:pPr>
            <w:r/>
            <w:r>
              <w:rPr>
                <w:rFonts w:ascii="Noto Sans CJK SC" w:hAnsi="Noto Sans CJK SC" w:eastAsia="Noto Sans CJK SC"/>
                <w:b w:val="0"/>
                <w:sz w:val="17"/>
              </w:rPr>
              <w:t>帮助老板快速判断是否继续推进订单。</w:t>
            </w:r>
          </w:p>
        </w:tc>
      </w:tr>
      <w:tr>
        <w:tc>
          <w:tcPr>
            <w:tcW w:type="dxa" w:w="1871"/>
            <w:shd w:fill="F2F6FA"/>
            <w:vAlign w:val="center"/>
          </w:tcPr>
          <w:p>
            <w:pPr>
              <w:spacing w:after="0" w:line="269" w:lineRule="auto"/>
            </w:pPr>
            <w:r/>
            <w:r>
              <w:rPr>
                <w:rFonts w:ascii="Noto Sans CJK SC" w:hAnsi="Noto Sans CJK SC" w:eastAsia="Noto Sans CJK SC"/>
                <w:b/>
                <w:sz w:val="17"/>
              </w:rPr>
              <w:t>法务版</w:t>
            </w:r>
          </w:p>
        </w:tc>
        <w:tc>
          <w:tcPr>
            <w:tcW w:type="dxa" w:w="4819"/>
            <w:vAlign w:val="center"/>
          </w:tcPr>
          <w:p>
            <w:pPr>
              <w:spacing w:after="0" w:line="269" w:lineRule="auto"/>
            </w:pPr>
            <w:r/>
            <w:r>
              <w:rPr>
                <w:rFonts w:ascii="Noto Sans CJK SC" w:hAnsi="Noto Sans CJK SC" w:eastAsia="Noto Sans CJK SC"/>
                <w:b w:val="0"/>
                <w:sz w:val="17"/>
              </w:rPr>
              <w:t>原文条款、触发规则、法律/惯例依据、修改建议、复核意见。</w:t>
            </w:r>
          </w:p>
        </w:tc>
        <w:tc>
          <w:tcPr>
            <w:tcW w:type="dxa" w:w="3402"/>
            <w:vAlign w:val="center"/>
          </w:tcPr>
          <w:p>
            <w:pPr>
              <w:spacing w:after="0" w:line="269" w:lineRule="auto"/>
            </w:pPr>
            <w:r/>
            <w:r>
              <w:rPr>
                <w:rFonts w:ascii="Noto Sans CJK SC" w:hAnsi="Noto Sans CJK SC" w:eastAsia="Noto Sans CJK SC"/>
                <w:b w:val="0"/>
                <w:sz w:val="17"/>
              </w:rPr>
              <w:t>体现专业性和可复核性。</w:t>
            </w:r>
          </w:p>
        </w:tc>
      </w:tr>
      <w:tr>
        <w:tc>
          <w:tcPr>
            <w:tcW w:type="dxa" w:w="1871"/>
            <w:shd w:fill="F2F6FA"/>
            <w:vAlign w:val="center"/>
          </w:tcPr>
          <w:p>
            <w:pPr>
              <w:spacing w:after="0" w:line="269" w:lineRule="auto"/>
            </w:pPr>
            <w:r/>
            <w:r>
              <w:rPr>
                <w:rFonts w:ascii="Noto Sans CJK SC" w:hAnsi="Noto Sans CJK SC" w:eastAsia="Noto Sans CJK SC"/>
                <w:b/>
                <w:sz w:val="17"/>
              </w:rPr>
              <w:t>证据包摘要</w:t>
            </w:r>
          </w:p>
        </w:tc>
        <w:tc>
          <w:tcPr>
            <w:tcW w:type="dxa" w:w="4819"/>
            <w:vAlign w:val="center"/>
          </w:tcPr>
          <w:p>
            <w:pPr>
              <w:spacing w:after="0" w:line="269" w:lineRule="auto"/>
            </w:pPr>
            <w:r/>
            <w:r>
              <w:rPr>
                <w:rFonts w:ascii="Noto Sans CJK SC" w:hAnsi="Noto Sans CJK SC" w:eastAsia="Noto Sans CJK SC"/>
                <w:b w:val="0"/>
                <w:sz w:val="17"/>
              </w:rPr>
              <w:t>事件时间线、证据目录、证明对象、缺失证据。</w:t>
            </w:r>
          </w:p>
        </w:tc>
        <w:tc>
          <w:tcPr>
            <w:tcW w:type="dxa" w:w="3402"/>
            <w:vAlign w:val="center"/>
          </w:tcPr>
          <w:p>
            <w:pPr>
              <w:spacing w:after="0" w:line="269" w:lineRule="auto"/>
            </w:pPr>
            <w:r/>
            <w:r>
              <w:rPr>
                <w:rFonts w:ascii="Noto Sans CJK SC" w:hAnsi="Noto Sans CJK SC" w:eastAsia="Noto Sans CJK SC"/>
                <w:b w:val="0"/>
                <w:sz w:val="17"/>
              </w:rPr>
              <w:t>把日常留痕转化为争议处理材料。</w:t>
            </w:r>
          </w:p>
        </w:tc>
      </w:tr>
    </w:tbl>
    <w:p>
      <w:pPr>
        <w:spacing w:after="40"/>
      </w:pPr>
    </w:p>
    <w:p>
      <w:pPr>
        <w:pStyle w:val="Heading1"/>
        <w:spacing w:before="200" w:after="80"/>
      </w:pPr>
      <w:r>
        <w:rPr>
          <w:rFonts w:ascii="Noto Sans CJK SC" w:hAnsi="Noto Sans CJK SC" w:eastAsia="Noto Sans CJK SC"/>
          <w:b/>
          <w:color w:val="1F4E79"/>
          <w:sz w:val="30"/>
        </w:rPr>
        <w:t>五、MVP 设计与案例导入方案</w:t>
      </w:r>
    </w:p>
    <w:p>
      <w:pPr>
        <w:pStyle w:val="Heading2"/>
        <w:spacing w:before="120" w:after="80"/>
      </w:pPr>
      <w:r>
        <w:rPr>
          <w:rFonts w:ascii="Noto Sans CJK SC" w:hAnsi="Noto Sans CJK SC" w:eastAsia="Noto Sans CJK SC"/>
          <w:b/>
          <w:color w:val="1F4E79"/>
          <w:sz w:val="25"/>
        </w:rPr>
        <w:t>（一）MVP 边界</w:t>
      </w:r>
    </w:p>
    <w:p>
      <w:pPr>
        <w:spacing w:after="100" w:line="283" w:lineRule="auto"/>
        <w:ind w:firstLine="420"/>
      </w:pPr>
      <w:r>
        <w:rPr>
          <w:rFonts w:ascii="Noto Sans CJK SC" w:hAnsi="Noto Sans CJK SC" w:eastAsia="Noto Sans CJK SC"/>
          <w:sz w:val="21"/>
        </w:rPr>
        <w:t>初赛阶段建议明确采用“案例导入型 MVP”。由于尚未接入真实企业业务系统，也没有真实客户信用数据，MVP 不应假装已经具备完整企业级数据能力。更稳妥的表达是：团队将构造典型东南亚外贸订单案例，模拟合同、PO、PI、聊天摘要和单据材料，展示系统如何完成字段抽取、风险识别、人工复核和报告导出。</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61"/>
        <w:gridCol w:w="4961"/>
      </w:tblGrid>
      <w:tr>
        <w:tc>
          <w:tcPr>
            <w:tcW w:type="dxa" w:w="4932"/>
            <w:shd w:fill="D9EAF7"/>
            <w:vAlign w:val="center"/>
          </w:tcPr>
          <w:p>
            <w:pPr>
              <w:spacing w:after="0" w:line="269" w:lineRule="auto"/>
              <w:jc w:val="center"/>
            </w:pPr>
            <w:r/>
            <w:r>
              <w:rPr>
                <w:rFonts w:ascii="Noto Sans CJK SC" w:hAnsi="Noto Sans CJK SC" w:eastAsia="Noto Sans CJK SC"/>
                <w:b/>
                <w:color w:val="1F4E79"/>
                <w:sz w:val="17"/>
              </w:rPr>
              <w:t>MVP 做什么</w:t>
            </w:r>
          </w:p>
        </w:tc>
        <w:tc>
          <w:tcPr>
            <w:tcW w:type="dxa" w:w="4932"/>
            <w:shd w:fill="D9EAF7"/>
            <w:vAlign w:val="center"/>
          </w:tcPr>
          <w:p>
            <w:pPr>
              <w:spacing w:after="0" w:line="269" w:lineRule="auto"/>
              <w:jc w:val="center"/>
            </w:pPr>
            <w:r/>
            <w:r>
              <w:rPr>
                <w:rFonts w:ascii="Noto Sans CJK SC" w:hAnsi="Noto Sans CJK SC" w:eastAsia="Noto Sans CJK SC"/>
                <w:b/>
                <w:color w:val="1F4E79"/>
                <w:sz w:val="17"/>
              </w:rPr>
              <w:t>MVP 暂不做什么</w:t>
            </w:r>
          </w:p>
        </w:tc>
      </w:tr>
      <w:tr>
        <w:tc>
          <w:tcPr>
            <w:tcW w:type="dxa" w:w="4932"/>
            <w:vAlign w:val="center"/>
          </w:tcPr>
          <w:p>
            <w:pPr>
              <w:spacing w:after="0" w:line="269" w:lineRule="auto"/>
            </w:pPr>
            <w:r/>
            <w:r>
              <w:rPr>
                <w:rFonts w:ascii="Noto Sans CJK SC" w:hAnsi="Noto Sans CJK SC" w:eastAsia="Noto Sans CJK SC"/>
                <w:b w:val="0"/>
                <w:sz w:val="17"/>
              </w:rPr>
              <w:t>合同、PO、PI 上传或文本导入。</w:t>
            </w:r>
          </w:p>
        </w:tc>
        <w:tc>
          <w:tcPr>
            <w:tcW w:type="dxa" w:w="4932"/>
            <w:vAlign w:val="center"/>
          </w:tcPr>
          <w:p>
            <w:pPr>
              <w:spacing w:after="0" w:line="269" w:lineRule="auto"/>
            </w:pPr>
            <w:r/>
            <w:r>
              <w:rPr>
                <w:rFonts w:ascii="Noto Sans CJK SC" w:hAnsi="Noto Sans CJK SC" w:eastAsia="Noto Sans CJK SC"/>
                <w:b w:val="0"/>
                <w:sz w:val="17"/>
              </w:rPr>
              <w:t>不接入真实企业邮箱、WhatsApp、微信、企业微信或飞书聊天数据库。</w:t>
            </w:r>
          </w:p>
        </w:tc>
      </w:tr>
      <w:tr>
        <w:tc>
          <w:tcPr>
            <w:tcW w:type="dxa" w:w="4932"/>
            <w:vAlign w:val="center"/>
          </w:tcPr>
          <w:p>
            <w:pPr>
              <w:spacing w:after="0" w:line="269" w:lineRule="auto"/>
            </w:pPr>
            <w:r/>
            <w:r>
              <w:rPr>
                <w:rFonts w:ascii="Noto Sans CJK SC" w:hAnsi="Noto Sans CJK SC" w:eastAsia="Noto Sans CJK SC"/>
                <w:b w:val="0"/>
                <w:sz w:val="17"/>
              </w:rPr>
              <w:t>抽取订单关键字段：主体、金额、付款、交货、贸易术语、目的国、争议条款。</w:t>
            </w:r>
          </w:p>
        </w:tc>
        <w:tc>
          <w:tcPr>
            <w:tcW w:type="dxa" w:w="4932"/>
            <w:vAlign w:val="center"/>
          </w:tcPr>
          <w:p>
            <w:pPr>
              <w:spacing w:after="0" w:line="269" w:lineRule="auto"/>
            </w:pPr>
            <w:r/>
            <w:r>
              <w:rPr>
                <w:rFonts w:ascii="Noto Sans CJK SC" w:hAnsi="Noto Sans CJK SC" w:eastAsia="Noto Sans CJK SC"/>
                <w:b w:val="0"/>
                <w:sz w:val="17"/>
              </w:rPr>
              <w:t>不承诺实时客户信用判断、负面舆情检索或制裁名单自动命中。</w:t>
            </w:r>
          </w:p>
        </w:tc>
      </w:tr>
      <w:tr>
        <w:tc>
          <w:tcPr>
            <w:tcW w:type="dxa" w:w="4932"/>
            <w:vAlign w:val="center"/>
          </w:tcPr>
          <w:p>
            <w:pPr>
              <w:spacing w:after="0" w:line="269" w:lineRule="auto"/>
            </w:pPr>
            <w:r/>
            <w:r>
              <w:rPr>
                <w:rFonts w:ascii="Noto Sans CJK SC" w:hAnsi="Noto Sans CJK SC" w:eastAsia="Noto Sans CJK SC"/>
                <w:b w:val="0"/>
                <w:sz w:val="17"/>
              </w:rPr>
              <w:t>基于规则库输出红黄绿风险报告。</w:t>
            </w:r>
          </w:p>
        </w:tc>
        <w:tc>
          <w:tcPr>
            <w:tcW w:type="dxa" w:w="4932"/>
            <w:vAlign w:val="center"/>
          </w:tcPr>
          <w:p>
            <w:pPr>
              <w:spacing w:after="0" w:line="269" w:lineRule="auto"/>
            </w:pPr>
            <w:r/>
            <w:r>
              <w:rPr>
                <w:rFonts w:ascii="Noto Sans CJK SC" w:hAnsi="Noto Sans CJK SC" w:eastAsia="Noto Sans CJK SC"/>
                <w:b w:val="0"/>
                <w:sz w:val="17"/>
              </w:rPr>
              <w:t>不提供越南、印尼、马来西亚本地正式法律意见。</w:t>
            </w:r>
          </w:p>
        </w:tc>
      </w:tr>
      <w:tr>
        <w:tc>
          <w:tcPr>
            <w:tcW w:type="dxa" w:w="4932"/>
            <w:vAlign w:val="center"/>
          </w:tcPr>
          <w:p>
            <w:pPr>
              <w:spacing w:after="0" w:line="269" w:lineRule="auto"/>
            </w:pPr>
            <w:r/>
            <w:r>
              <w:rPr>
                <w:rFonts w:ascii="Noto Sans CJK SC" w:hAnsi="Noto Sans CJK SC" w:eastAsia="Noto Sans CJK SC"/>
                <w:b w:val="0"/>
                <w:sz w:val="17"/>
              </w:rPr>
              <w:t>高风险事项进入人工复核并留痕。</w:t>
            </w:r>
          </w:p>
        </w:tc>
        <w:tc>
          <w:tcPr>
            <w:tcW w:type="dxa" w:w="4932"/>
            <w:vAlign w:val="center"/>
          </w:tcPr>
          <w:p>
            <w:pPr>
              <w:spacing w:after="0" w:line="269" w:lineRule="auto"/>
            </w:pPr>
            <w:r/>
            <w:r>
              <w:rPr>
                <w:rFonts w:ascii="Noto Sans CJK SC" w:hAnsi="Noto Sans CJK SC" w:eastAsia="Noto Sans CJK SC"/>
                <w:b w:val="0"/>
                <w:sz w:val="17"/>
              </w:rPr>
              <w:t>不做完整企业级权限体系和私有化部署。</w:t>
            </w:r>
          </w:p>
        </w:tc>
      </w:tr>
      <w:tr>
        <w:tc>
          <w:tcPr>
            <w:tcW w:type="dxa" w:w="4932"/>
            <w:vAlign w:val="center"/>
          </w:tcPr>
          <w:p>
            <w:pPr>
              <w:spacing w:after="0" w:line="269" w:lineRule="auto"/>
            </w:pPr>
            <w:r/>
            <w:r>
              <w:rPr>
                <w:rFonts w:ascii="Noto Sans CJK SC" w:hAnsi="Noto Sans CJK SC" w:eastAsia="Noto Sans CJK SC"/>
                <w:b w:val="0"/>
                <w:sz w:val="17"/>
              </w:rPr>
              <w:t>导出 Word/PDF 风险报告和证据包摘要。</w:t>
            </w:r>
          </w:p>
        </w:tc>
        <w:tc>
          <w:tcPr>
            <w:tcW w:type="dxa" w:w="4932"/>
            <w:vAlign w:val="center"/>
          </w:tcPr>
          <w:p>
            <w:pPr>
              <w:spacing w:after="0" w:line="269" w:lineRule="auto"/>
            </w:pPr>
            <w:r/>
            <w:r>
              <w:rPr>
                <w:rFonts w:ascii="Noto Sans CJK SC" w:hAnsi="Noto Sans CJK SC" w:eastAsia="Noto Sans CJK SC"/>
                <w:b w:val="0"/>
                <w:sz w:val="17"/>
              </w:rPr>
              <w:t>不深度接入 CRM、ERP、订单管理平台。</w:t>
            </w:r>
          </w:p>
        </w:tc>
      </w:tr>
    </w:tbl>
    <w:p>
      <w:pPr>
        <w:spacing w:after="40"/>
      </w:pPr>
    </w:p>
    <w:p>
      <w:pPr>
        <w:pStyle w:val="Heading2"/>
        <w:spacing w:before="120" w:after="80"/>
      </w:pPr>
      <w:r>
        <w:rPr>
          <w:rFonts w:ascii="Noto Sans CJK SC" w:hAnsi="Noto Sans CJK SC" w:eastAsia="Noto Sans CJK SC"/>
          <w:b/>
          <w:color w:val="1F4E79"/>
          <w:sz w:val="25"/>
        </w:rPr>
        <w:t>（二）MVP 核心流程</w:t>
      </w:r>
    </w:p>
    <w:p>
      <w:pPr>
        <w:spacing w:after="40" w:line="276" w:lineRule="auto"/>
        <w:ind w:left="312" w:hanging="255"/>
      </w:pPr>
      <w:r>
        <w:rPr>
          <w:rFonts w:ascii="Noto Sans CJK SC" w:hAnsi="Noto Sans CJK SC" w:eastAsia="Noto Sans CJK SC"/>
          <w:sz w:val="20"/>
        </w:rPr>
        <w:t>1.  业务员新建订单空间，选择目的国、产品类型、付款方式、贸易术语和订单金额。</w:t>
      </w:r>
    </w:p>
    <w:p>
      <w:pPr>
        <w:spacing w:after="40" w:line="276" w:lineRule="auto"/>
        <w:ind w:left="312" w:hanging="255"/>
      </w:pPr>
      <w:r>
        <w:rPr>
          <w:rFonts w:ascii="Noto Sans CJK SC" w:hAnsi="Noto Sans CJK SC" w:eastAsia="Noto Sans CJK SC"/>
          <w:sz w:val="20"/>
        </w:rPr>
        <w:t>2.  上传或粘贴合同、PO、PI、聊天摘要等模拟材料。</w:t>
      </w:r>
    </w:p>
    <w:p>
      <w:pPr>
        <w:spacing w:after="40" w:line="276" w:lineRule="auto"/>
        <w:ind w:left="312" w:hanging="255"/>
      </w:pPr>
      <w:r>
        <w:rPr>
          <w:rFonts w:ascii="Noto Sans CJK SC" w:hAnsi="Noto Sans CJK SC" w:eastAsia="Noto Sans CJK SC"/>
          <w:sz w:val="20"/>
        </w:rPr>
        <w:t>3.  系统抽取订单关键字段，并提示缺失信息。</w:t>
      </w:r>
    </w:p>
    <w:p>
      <w:pPr>
        <w:spacing w:after="40" w:line="276" w:lineRule="auto"/>
        <w:ind w:left="312" w:hanging="255"/>
      </w:pPr>
      <w:r>
        <w:rPr>
          <w:rFonts w:ascii="Noto Sans CJK SC" w:hAnsi="Noto Sans CJK SC" w:eastAsia="Noto Sans CJK SC"/>
          <w:sz w:val="20"/>
        </w:rPr>
        <w:t>4.  系统根据规则库识别风险，输出红黄绿风险报告。</w:t>
      </w:r>
    </w:p>
    <w:p>
      <w:pPr>
        <w:spacing w:after="40" w:line="276" w:lineRule="auto"/>
        <w:ind w:left="312" w:hanging="255"/>
      </w:pPr>
      <w:r>
        <w:rPr>
          <w:rFonts w:ascii="Noto Sans CJK SC" w:hAnsi="Noto Sans CJK SC" w:eastAsia="Noto Sans CJK SC"/>
          <w:sz w:val="20"/>
        </w:rPr>
        <w:t>5.  红色风险推送给法务、负责人或外部律师复核。</w:t>
      </w:r>
    </w:p>
    <w:p>
      <w:pPr>
        <w:spacing w:after="40" w:line="276" w:lineRule="auto"/>
        <w:ind w:left="312" w:hanging="255"/>
      </w:pPr>
      <w:r>
        <w:rPr>
          <w:rFonts w:ascii="Noto Sans CJK SC" w:hAnsi="Noto Sans CJK SC" w:eastAsia="Noto Sans CJK SC"/>
          <w:sz w:val="20"/>
        </w:rPr>
        <w:t>6.  业务员根据修改建议与客户沟通，系统保留复核意见和处理结果。</w:t>
      </w:r>
    </w:p>
    <w:p>
      <w:pPr>
        <w:spacing w:after="40" w:line="276" w:lineRule="auto"/>
        <w:ind w:left="312" w:hanging="255"/>
      </w:pPr>
      <w:r>
        <w:rPr>
          <w:rFonts w:ascii="Noto Sans CJK SC" w:hAnsi="Noto Sans CJK SC" w:eastAsia="Noto Sans CJK SC"/>
          <w:sz w:val="20"/>
        </w:rPr>
        <w:t>7.  导出业务员版、负责人版或法务版报告；争议场景导出证据包摘要。</w:t>
      </w:r>
    </w:p>
    <w:p>
      <w:pPr>
        <w:pStyle w:val="Heading2"/>
        <w:spacing w:before="120" w:after="80"/>
      </w:pPr>
      <w:r>
        <w:rPr>
          <w:rFonts w:ascii="Noto Sans CJK SC" w:hAnsi="Noto Sans CJK SC" w:eastAsia="Noto Sans CJK SC"/>
          <w:b/>
          <w:color w:val="1F4E79"/>
          <w:sz w:val="25"/>
        </w:rPr>
        <w:t>（三）东南亚演示案例设计</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80"/>
        <w:gridCol w:w="2480"/>
        <w:gridCol w:w="2480"/>
        <w:gridCol w:w="2480"/>
      </w:tblGrid>
      <w:tr>
        <w:tc>
          <w:tcPr>
            <w:tcW w:type="dxa" w:w="2098"/>
            <w:shd w:fill="D9EAF7"/>
            <w:vAlign w:val="center"/>
          </w:tcPr>
          <w:p>
            <w:pPr>
              <w:spacing w:after="0" w:line="269" w:lineRule="auto"/>
              <w:jc w:val="center"/>
            </w:pPr>
            <w:r/>
            <w:r>
              <w:rPr>
                <w:rFonts w:ascii="Noto Sans CJK SC" w:hAnsi="Noto Sans CJK SC" w:eastAsia="Noto Sans CJK SC"/>
                <w:b/>
                <w:color w:val="1F4E79"/>
                <w:sz w:val="16"/>
              </w:rPr>
              <w:t>案例</w:t>
            </w:r>
          </w:p>
        </w:tc>
        <w:tc>
          <w:tcPr>
            <w:tcW w:type="dxa" w:w="2551"/>
            <w:shd w:fill="D9EAF7"/>
            <w:vAlign w:val="center"/>
          </w:tcPr>
          <w:p>
            <w:pPr>
              <w:spacing w:after="0" w:line="269" w:lineRule="auto"/>
              <w:jc w:val="center"/>
            </w:pPr>
            <w:r/>
            <w:r>
              <w:rPr>
                <w:rFonts w:ascii="Noto Sans CJK SC" w:hAnsi="Noto Sans CJK SC" w:eastAsia="Noto Sans CJK SC"/>
                <w:b/>
                <w:color w:val="1F4E79"/>
                <w:sz w:val="16"/>
              </w:rPr>
              <w:t>输入材料</w:t>
            </w:r>
          </w:p>
        </w:tc>
        <w:tc>
          <w:tcPr>
            <w:tcW w:type="dxa" w:w="3798"/>
            <w:shd w:fill="D9EAF7"/>
            <w:vAlign w:val="center"/>
          </w:tcPr>
          <w:p>
            <w:pPr>
              <w:spacing w:after="0" w:line="269" w:lineRule="auto"/>
              <w:jc w:val="center"/>
            </w:pPr>
            <w:r/>
            <w:r>
              <w:rPr>
                <w:rFonts w:ascii="Noto Sans CJK SC" w:hAnsi="Noto Sans CJK SC" w:eastAsia="Noto Sans CJK SC"/>
                <w:b/>
                <w:color w:val="1F4E79"/>
                <w:sz w:val="16"/>
              </w:rPr>
              <w:t>核心风险点</w:t>
            </w:r>
          </w:p>
        </w:tc>
        <w:tc>
          <w:tcPr>
            <w:tcW w:type="dxa" w:w="2835"/>
            <w:shd w:fill="D9EAF7"/>
            <w:vAlign w:val="center"/>
          </w:tcPr>
          <w:p>
            <w:pPr>
              <w:spacing w:after="0" w:line="269" w:lineRule="auto"/>
              <w:jc w:val="center"/>
            </w:pPr>
            <w:r/>
            <w:r>
              <w:rPr>
                <w:rFonts w:ascii="Noto Sans CJK SC" w:hAnsi="Noto Sans CJK SC" w:eastAsia="Noto Sans CJK SC"/>
                <w:b/>
                <w:color w:val="1F4E79"/>
                <w:sz w:val="16"/>
              </w:rPr>
              <w:t>系统展示重点</w:t>
            </w:r>
          </w:p>
        </w:tc>
      </w:tr>
      <w:tr>
        <w:tc>
          <w:tcPr>
            <w:tcW w:type="dxa" w:w="2098"/>
            <w:shd w:fill="F2F6FA"/>
            <w:vAlign w:val="center"/>
          </w:tcPr>
          <w:p>
            <w:pPr>
              <w:spacing w:after="0" w:line="269" w:lineRule="auto"/>
            </w:pPr>
            <w:r/>
            <w:r>
              <w:rPr>
                <w:rFonts w:ascii="Noto Sans CJK SC" w:hAnsi="Noto Sans CJK SC" w:eastAsia="Noto Sans CJK SC"/>
                <w:b/>
                <w:sz w:val="16"/>
              </w:rPr>
              <w:t>案例一：越南买方 PO</w:t>
            </w:r>
          </w:p>
        </w:tc>
        <w:tc>
          <w:tcPr>
            <w:tcW w:type="dxa" w:w="2551"/>
            <w:vAlign w:val="center"/>
          </w:tcPr>
          <w:p>
            <w:pPr>
              <w:spacing w:after="0" w:line="269" w:lineRule="auto"/>
            </w:pPr>
            <w:r/>
            <w:r>
              <w:rPr>
                <w:rFonts w:ascii="Noto Sans CJK SC" w:hAnsi="Noto Sans CJK SC" w:eastAsia="Noto Sans CJK SC"/>
                <w:b w:val="0"/>
                <w:sz w:val="16"/>
              </w:rPr>
              <w:t>英文 PO、PI、邮件摘要。</w:t>
            </w:r>
          </w:p>
        </w:tc>
        <w:tc>
          <w:tcPr>
            <w:tcW w:type="dxa" w:w="3798"/>
            <w:vAlign w:val="center"/>
          </w:tcPr>
          <w:p>
            <w:pPr>
              <w:spacing w:after="0" w:line="269" w:lineRule="auto"/>
            </w:pPr>
            <w:r/>
            <w:r>
              <w:rPr>
                <w:rFonts w:ascii="Noto Sans CJK SC" w:hAnsi="Noto Sans CJK SC" w:eastAsia="Noto Sans CJK SC"/>
                <w:b w:val="0"/>
                <w:sz w:val="16"/>
              </w:rPr>
              <w:t>尾款到港后支付；质量异议期限不清；争议解决条款缺失；逾期付款责任不足。</w:t>
            </w:r>
          </w:p>
        </w:tc>
        <w:tc>
          <w:tcPr>
            <w:tcW w:type="dxa" w:w="2835"/>
            <w:vAlign w:val="center"/>
          </w:tcPr>
          <w:p>
            <w:pPr>
              <w:spacing w:after="0" w:line="269" w:lineRule="auto"/>
            </w:pPr>
            <w:r/>
            <w:r>
              <w:rPr>
                <w:rFonts w:ascii="Noto Sans CJK SC" w:hAnsi="Noto Sans CJK SC" w:eastAsia="Noto Sans CJK SC"/>
                <w:b w:val="0"/>
                <w:sz w:val="16"/>
              </w:rPr>
              <w:t>条款风险识别、中文解释、修改建议、负责人摘要。</w:t>
            </w:r>
          </w:p>
        </w:tc>
      </w:tr>
      <w:tr>
        <w:tc>
          <w:tcPr>
            <w:tcW w:type="dxa" w:w="2098"/>
            <w:shd w:fill="F2F6FA"/>
            <w:vAlign w:val="center"/>
          </w:tcPr>
          <w:p>
            <w:pPr>
              <w:spacing w:after="0" w:line="269" w:lineRule="auto"/>
            </w:pPr>
            <w:r/>
            <w:r>
              <w:rPr>
                <w:rFonts w:ascii="Noto Sans CJK SC" w:hAnsi="Noto Sans CJK SC" w:eastAsia="Noto Sans CJK SC"/>
                <w:b/>
                <w:sz w:val="16"/>
              </w:rPr>
              <w:t>案例二：印尼买方 DDP</w:t>
            </w:r>
          </w:p>
        </w:tc>
        <w:tc>
          <w:tcPr>
            <w:tcW w:type="dxa" w:w="2551"/>
            <w:vAlign w:val="center"/>
          </w:tcPr>
          <w:p>
            <w:pPr>
              <w:spacing w:after="0" w:line="269" w:lineRule="auto"/>
            </w:pPr>
            <w:r/>
            <w:r>
              <w:rPr>
                <w:rFonts w:ascii="Noto Sans CJK SC" w:hAnsi="Noto Sans CJK SC" w:eastAsia="Noto Sans CJK SC"/>
                <w:b w:val="0"/>
                <w:sz w:val="16"/>
              </w:rPr>
              <w:t>销售合同、PO、贸易术语说明、目的国资料清单。</w:t>
            </w:r>
          </w:p>
        </w:tc>
        <w:tc>
          <w:tcPr>
            <w:tcW w:type="dxa" w:w="3798"/>
            <w:vAlign w:val="center"/>
          </w:tcPr>
          <w:p>
            <w:pPr>
              <w:spacing w:after="0" w:line="269" w:lineRule="auto"/>
            </w:pPr>
            <w:r/>
            <w:r>
              <w:rPr>
                <w:rFonts w:ascii="Noto Sans CJK SC" w:hAnsi="Noto Sans CJK SC" w:eastAsia="Noto Sans CJK SC"/>
                <w:b w:val="0"/>
                <w:sz w:val="16"/>
              </w:rPr>
              <w:t>DDP 下卖方承担进口清关和税费但责任边界不明；目的国合规资料不完整；滞港费承担不清。</w:t>
            </w:r>
          </w:p>
        </w:tc>
        <w:tc>
          <w:tcPr>
            <w:tcW w:type="dxa" w:w="2835"/>
            <w:vAlign w:val="center"/>
          </w:tcPr>
          <w:p>
            <w:pPr>
              <w:spacing w:after="0" w:line="269" w:lineRule="auto"/>
            </w:pPr>
            <w:r/>
            <w:r>
              <w:rPr>
                <w:rFonts w:ascii="Noto Sans CJK SC" w:hAnsi="Noto Sans CJK SC" w:eastAsia="Noto Sans CJK SC"/>
                <w:b w:val="0"/>
                <w:sz w:val="16"/>
              </w:rPr>
              <w:t>贸易术语风险卡片、目的国交易注意事项、法务复核触发。</w:t>
            </w:r>
          </w:p>
        </w:tc>
      </w:tr>
      <w:tr>
        <w:tc>
          <w:tcPr>
            <w:tcW w:type="dxa" w:w="2098"/>
            <w:shd w:fill="F2F6FA"/>
            <w:vAlign w:val="center"/>
          </w:tcPr>
          <w:p>
            <w:pPr>
              <w:spacing w:after="0" w:line="269" w:lineRule="auto"/>
            </w:pPr>
            <w:r/>
            <w:r>
              <w:rPr>
                <w:rFonts w:ascii="Noto Sans CJK SC" w:hAnsi="Noto Sans CJK SC" w:eastAsia="Noto Sans CJK SC"/>
                <w:b/>
                <w:sz w:val="16"/>
              </w:rPr>
              <w:t>案例三：马来西亚/菲律宾质量异议</w:t>
            </w:r>
          </w:p>
        </w:tc>
        <w:tc>
          <w:tcPr>
            <w:tcW w:type="dxa" w:w="2551"/>
            <w:vAlign w:val="center"/>
          </w:tcPr>
          <w:p>
            <w:pPr>
              <w:spacing w:after="0" w:line="269" w:lineRule="auto"/>
            </w:pPr>
            <w:r/>
            <w:r>
              <w:rPr>
                <w:rFonts w:ascii="Noto Sans CJK SC" w:hAnsi="Noto Sans CJK SC" w:eastAsia="Noto Sans CJK SC"/>
                <w:b w:val="0"/>
                <w:sz w:val="16"/>
              </w:rPr>
              <w:t>合同、聊天摘要、质检报告、提单、发票、收货确认。</w:t>
            </w:r>
          </w:p>
        </w:tc>
        <w:tc>
          <w:tcPr>
            <w:tcW w:type="dxa" w:w="3798"/>
            <w:vAlign w:val="center"/>
          </w:tcPr>
          <w:p>
            <w:pPr>
              <w:spacing w:after="0" w:line="269" w:lineRule="auto"/>
            </w:pPr>
            <w:r/>
            <w:r>
              <w:rPr>
                <w:rFonts w:ascii="Noto Sans CJK SC" w:hAnsi="Noto Sans CJK SC" w:eastAsia="Noto Sans CJK SC"/>
                <w:b w:val="0"/>
                <w:sz w:val="16"/>
              </w:rPr>
              <w:t>客户收货后较长时间未提出异议，后续以质量问题拒付尾款；验货记录和确认节点不完整。</w:t>
            </w:r>
          </w:p>
        </w:tc>
        <w:tc>
          <w:tcPr>
            <w:tcW w:type="dxa" w:w="2835"/>
            <w:vAlign w:val="center"/>
          </w:tcPr>
          <w:p>
            <w:pPr>
              <w:spacing w:after="0" w:line="269" w:lineRule="auto"/>
            </w:pPr>
            <w:r/>
            <w:r>
              <w:rPr>
                <w:rFonts w:ascii="Noto Sans CJK SC" w:hAnsi="Noto Sans CJK SC" w:eastAsia="Noto Sans CJK SC"/>
                <w:b w:val="0"/>
                <w:sz w:val="16"/>
              </w:rPr>
              <w:t>履约时间线、证据缺口提示、争议证据包导出。</w:t>
            </w:r>
          </w:p>
        </w:tc>
      </w:tr>
    </w:tbl>
    <w:p>
      <w:pPr>
        <w:spacing w:after="40"/>
      </w:pPr>
    </w:p>
    <w:p>
      <w:pPr>
        <w:pStyle w:val="Heading2"/>
        <w:spacing w:before="120" w:after="80"/>
      </w:pPr>
      <w:r>
        <w:rPr>
          <w:rFonts w:ascii="Noto Sans CJK SC" w:hAnsi="Noto Sans CJK SC" w:eastAsia="Noto Sans CJK SC"/>
          <w:b/>
          <w:color w:val="1F4E79"/>
          <w:sz w:val="25"/>
        </w:rPr>
        <w:t>（四）原型界面建议</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71"/>
            <w:shd w:fill="D9EAF7"/>
            <w:vAlign w:val="center"/>
          </w:tcPr>
          <w:p>
            <w:pPr>
              <w:spacing w:after="0" w:line="269" w:lineRule="auto"/>
              <w:jc w:val="center"/>
            </w:pPr>
            <w:r/>
            <w:r>
              <w:rPr>
                <w:rFonts w:ascii="Noto Sans CJK SC" w:hAnsi="Noto Sans CJK SC" w:eastAsia="Noto Sans CJK SC"/>
                <w:b/>
                <w:color w:val="1F4E79"/>
                <w:sz w:val="17"/>
              </w:rPr>
              <w:t>页面</w:t>
            </w:r>
          </w:p>
        </w:tc>
        <w:tc>
          <w:tcPr>
            <w:tcW w:type="dxa" w:w="4535"/>
            <w:shd w:fill="D9EAF7"/>
            <w:vAlign w:val="center"/>
          </w:tcPr>
          <w:p>
            <w:pPr>
              <w:spacing w:after="0" w:line="269" w:lineRule="auto"/>
              <w:jc w:val="center"/>
            </w:pPr>
            <w:r/>
            <w:r>
              <w:rPr>
                <w:rFonts w:ascii="Noto Sans CJK SC" w:hAnsi="Noto Sans CJK SC" w:eastAsia="Noto Sans CJK SC"/>
                <w:b/>
                <w:color w:val="1F4E79"/>
                <w:sz w:val="17"/>
              </w:rPr>
              <w:t>主要内容</w:t>
            </w:r>
          </w:p>
        </w:tc>
        <w:tc>
          <w:tcPr>
            <w:tcW w:type="dxa" w:w="3685"/>
            <w:shd w:fill="D9EAF7"/>
            <w:vAlign w:val="center"/>
          </w:tcPr>
          <w:p>
            <w:pPr>
              <w:spacing w:after="0" w:line="269" w:lineRule="auto"/>
              <w:jc w:val="center"/>
            </w:pPr>
            <w:r/>
            <w:r>
              <w:rPr>
                <w:rFonts w:ascii="Noto Sans CJK SC" w:hAnsi="Noto Sans CJK SC" w:eastAsia="Noto Sans CJK SC"/>
                <w:b/>
                <w:color w:val="1F4E79"/>
                <w:sz w:val="17"/>
              </w:rPr>
              <w:t>初赛展示方式</w:t>
            </w:r>
          </w:p>
        </w:tc>
      </w:tr>
      <w:tr>
        <w:tc>
          <w:tcPr>
            <w:tcW w:type="dxa" w:w="1871"/>
            <w:shd w:fill="F2F6FA"/>
            <w:vAlign w:val="center"/>
          </w:tcPr>
          <w:p>
            <w:pPr>
              <w:spacing w:after="0" w:line="269" w:lineRule="auto"/>
            </w:pPr>
            <w:r/>
            <w:r>
              <w:rPr>
                <w:rFonts w:ascii="Noto Sans CJK SC" w:hAnsi="Noto Sans CJK SC" w:eastAsia="Noto Sans CJK SC"/>
                <w:b/>
                <w:sz w:val="17"/>
              </w:rPr>
              <w:t>订单列表页</w:t>
            </w:r>
          </w:p>
        </w:tc>
        <w:tc>
          <w:tcPr>
            <w:tcW w:type="dxa" w:w="4535"/>
            <w:vAlign w:val="center"/>
          </w:tcPr>
          <w:p>
            <w:pPr>
              <w:spacing w:after="0" w:line="269" w:lineRule="auto"/>
            </w:pPr>
            <w:r/>
            <w:r>
              <w:rPr>
                <w:rFonts w:ascii="Noto Sans CJK SC" w:hAnsi="Noto Sans CJK SC" w:eastAsia="Noto Sans CJK SC"/>
                <w:b w:val="0"/>
                <w:sz w:val="17"/>
              </w:rPr>
              <w:t>订单名称、目的国、金额、风险等级、复核状态。</w:t>
            </w:r>
          </w:p>
        </w:tc>
        <w:tc>
          <w:tcPr>
            <w:tcW w:type="dxa" w:w="3685"/>
            <w:vAlign w:val="center"/>
          </w:tcPr>
          <w:p>
            <w:pPr>
              <w:spacing w:after="0" w:line="269" w:lineRule="auto"/>
            </w:pPr>
            <w:r/>
            <w:r>
              <w:rPr>
                <w:rFonts w:ascii="Noto Sans CJK SC" w:hAnsi="Noto Sans CJK SC" w:eastAsia="Noto Sans CJK SC"/>
                <w:b w:val="0"/>
                <w:sz w:val="17"/>
              </w:rPr>
              <w:t>展示多个模拟订单，突出东南亚定位。</w:t>
            </w:r>
          </w:p>
        </w:tc>
      </w:tr>
      <w:tr>
        <w:tc>
          <w:tcPr>
            <w:tcW w:type="dxa" w:w="1871"/>
            <w:shd w:fill="F2F6FA"/>
            <w:vAlign w:val="center"/>
          </w:tcPr>
          <w:p>
            <w:pPr>
              <w:spacing w:after="0" w:line="269" w:lineRule="auto"/>
            </w:pPr>
            <w:r/>
            <w:r>
              <w:rPr>
                <w:rFonts w:ascii="Noto Sans CJK SC" w:hAnsi="Noto Sans CJK SC" w:eastAsia="Noto Sans CJK SC"/>
                <w:b/>
                <w:sz w:val="17"/>
              </w:rPr>
              <w:t>订单空间页</w:t>
            </w:r>
          </w:p>
        </w:tc>
        <w:tc>
          <w:tcPr>
            <w:tcW w:type="dxa" w:w="4535"/>
            <w:vAlign w:val="center"/>
          </w:tcPr>
          <w:p>
            <w:pPr>
              <w:spacing w:after="0" w:line="269" w:lineRule="auto"/>
            </w:pPr>
            <w:r/>
            <w:r>
              <w:rPr>
                <w:rFonts w:ascii="Noto Sans CJK SC" w:hAnsi="Noto Sans CJK SC" w:eastAsia="Noto Sans CJK SC"/>
                <w:b w:val="0"/>
                <w:sz w:val="17"/>
              </w:rPr>
              <w:t>材料上传、订单信息卡片、风险扫描按钮、材料完整度。</w:t>
            </w:r>
          </w:p>
        </w:tc>
        <w:tc>
          <w:tcPr>
            <w:tcW w:type="dxa" w:w="3685"/>
            <w:vAlign w:val="center"/>
          </w:tcPr>
          <w:p>
            <w:pPr>
              <w:spacing w:after="0" w:line="269" w:lineRule="auto"/>
            </w:pPr>
            <w:r/>
            <w:r>
              <w:rPr>
                <w:rFonts w:ascii="Noto Sans CJK SC" w:hAnsi="Noto Sans CJK SC" w:eastAsia="Noto Sans CJK SC"/>
                <w:b w:val="0"/>
                <w:sz w:val="17"/>
              </w:rPr>
              <w:t>展示业务员如何从 PO/PI 进入审查流程。</w:t>
            </w:r>
          </w:p>
        </w:tc>
      </w:tr>
      <w:tr>
        <w:tc>
          <w:tcPr>
            <w:tcW w:type="dxa" w:w="1871"/>
            <w:shd w:fill="F2F6FA"/>
            <w:vAlign w:val="center"/>
          </w:tcPr>
          <w:p>
            <w:pPr>
              <w:spacing w:after="0" w:line="269" w:lineRule="auto"/>
            </w:pPr>
            <w:r/>
            <w:r>
              <w:rPr>
                <w:rFonts w:ascii="Noto Sans CJK SC" w:hAnsi="Noto Sans CJK SC" w:eastAsia="Noto Sans CJK SC"/>
                <w:b/>
                <w:sz w:val="17"/>
              </w:rPr>
              <w:t>风险报告页</w:t>
            </w:r>
          </w:p>
        </w:tc>
        <w:tc>
          <w:tcPr>
            <w:tcW w:type="dxa" w:w="4535"/>
            <w:vAlign w:val="center"/>
          </w:tcPr>
          <w:p>
            <w:pPr>
              <w:spacing w:after="0" w:line="269" w:lineRule="auto"/>
            </w:pPr>
            <w:r/>
            <w:r>
              <w:rPr>
                <w:rFonts w:ascii="Noto Sans CJK SC" w:hAnsi="Noto Sans CJK SC" w:eastAsia="Noto Sans CJK SC"/>
                <w:b w:val="0"/>
                <w:sz w:val="17"/>
              </w:rPr>
              <w:t>红黄绿风险卡片、原文条款、风险解释、修改建议。</w:t>
            </w:r>
          </w:p>
        </w:tc>
        <w:tc>
          <w:tcPr>
            <w:tcW w:type="dxa" w:w="3685"/>
            <w:vAlign w:val="center"/>
          </w:tcPr>
          <w:p>
            <w:pPr>
              <w:spacing w:after="0" w:line="269" w:lineRule="auto"/>
            </w:pPr>
            <w:r/>
            <w:r>
              <w:rPr>
                <w:rFonts w:ascii="Noto Sans CJK SC" w:hAnsi="Noto Sans CJK SC" w:eastAsia="Noto Sans CJK SC"/>
                <w:b w:val="0"/>
                <w:sz w:val="17"/>
              </w:rPr>
              <w:t>作为核心展示页面。</w:t>
            </w:r>
          </w:p>
        </w:tc>
      </w:tr>
      <w:tr>
        <w:tc>
          <w:tcPr>
            <w:tcW w:type="dxa" w:w="1871"/>
            <w:shd w:fill="F2F6FA"/>
            <w:vAlign w:val="center"/>
          </w:tcPr>
          <w:p>
            <w:pPr>
              <w:spacing w:after="0" w:line="269" w:lineRule="auto"/>
            </w:pPr>
            <w:r/>
            <w:r>
              <w:rPr>
                <w:rFonts w:ascii="Noto Sans CJK SC" w:hAnsi="Noto Sans CJK SC" w:eastAsia="Noto Sans CJK SC"/>
                <w:b/>
                <w:sz w:val="17"/>
              </w:rPr>
              <w:t>复核工作台</w:t>
            </w:r>
          </w:p>
        </w:tc>
        <w:tc>
          <w:tcPr>
            <w:tcW w:type="dxa" w:w="4535"/>
            <w:vAlign w:val="center"/>
          </w:tcPr>
          <w:p>
            <w:pPr>
              <w:spacing w:after="0" w:line="269" w:lineRule="auto"/>
            </w:pPr>
            <w:r/>
            <w:r>
              <w:rPr>
                <w:rFonts w:ascii="Noto Sans CJK SC" w:hAnsi="Noto Sans CJK SC" w:eastAsia="Noto Sans CJK SC"/>
                <w:b w:val="0"/>
                <w:sz w:val="17"/>
              </w:rPr>
              <w:t>高风险事项列表、复核意见、处理结论、版本留痕。</w:t>
            </w:r>
          </w:p>
        </w:tc>
        <w:tc>
          <w:tcPr>
            <w:tcW w:type="dxa" w:w="3685"/>
            <w:vAlign w:val="center"/>
          </w:tcPr>
          <w:p>
            <w:pPr>
              <w:spacing w:after="0" w:line="269" w:lineRule="auto"/>
            </w:pPr>
            <w:r/>
            <w:r>
              <w:rPr>
                <w:rFonts w:ascii="Noto Sans CJK SC" w:hAnsi="Noto Sans CJK SC" w:eastAsia="Noto Sans CJK SC"/>
                <w:b w:val="0"/>
                <w:sz w:val="17"/>
              </w:rPr>
              <w:t>展示业务员、法务、老板协作。</w:t>
            </w:r>
          </w:p>
        </w:tc>
      </w:tr>
      <w:tr>
        <w:tc>
          <w:tcPr>
            <w:tcW w:type="dxa" w:w="1871"/>
            <w:shd w:fill="F2F6FA"/>
            <w:vAlign w:val="center"/>
          </w:tcPr>
          <w:p>
            <w:pPr>
              <w:spacing w:after="0" w:line="269" w:lineRule="auto"/>
            </w:pPr>
            <w:r/>
            <w:r>
              <w:rPr>
                <w:rFonts w:ascii="Noto Sans CJK SC" w:hAnsi="Noto Sans CJK SC" w:eastAsia="Noto Sans CJK SC"/>
                <w:b/>
                <w:sz w:val="17"/>
              </w:rPr>
              <w:t>证据时间线页</w:t>
            </w:r>
          </w:p>
        </w:tc>
        <w:tc>
          <w:tcPr>
            <w:tcW w:type="dxa" w:w="4535"/>
            <w:vAlign w:val="center"/>
          </w:tcPr>
          <w:p>
            <w:pPr>
              <w:spacing w:after="0" w:line="269" w:lineRule="auto"/>
            </w:pPr>
            <w:r/>
            <w:r>
              <w:rPr>
                <w:rFonts w:ascii="Noto Sans CJK SC" w:hAnsi="Noto Sans CJK SC" w:eastAsia="Noto Sans CJK SC"/>
                <w:b w:val="0"/>
                <w:sz w:val="17"/>
              </w:rPr>
              <w:t>签约、生产、验货、发货、收款、异议等节点。</w:t>
            </w:r>
          </w:p>
        </w:tc>
        <w:tc>
          <w:tcPr>
            <w:tcW w:type="dxa" w:w="3685"/>
            <w:vAlign w:val="center"/>
          </w:tcPr>
          <w:p>
            <w:pPr>
              <w:spacing w:after="0" w:line="269" w:lineRule="auto"/>
            </w:pPr>
            <w:r/>
            <w:r>
              <w:rPr>
                <w:rFonts w:ascii="Noto Sans CJK SC" w:hAnsi="Noto Sans CJK SC" w:eastAsia="Noto Sans CJK SC"/>
                <w:b w:val="0"/>
                <w:sz w:val="17"/>
              </w:rPr>
              <w:t>展示履约留痕如何转化为争议证据包。</w:t>
            </w:r>
          </w:p>
        </w:tc>
      </w:tr>
      <w:tr>
        <w:tc>
          <w:tcPr>
            <w:tcW w:type="dxa" w:w="1871"/>
            <w:shd w:fill="F2F6FA"/>
            <w:vAlign w:val="center"/>
          </w:tcPr>
          <w:p>
            <w:pPr>
              <w:spacing w:after="0" w:line="269" w:lineRule="auto"/>
            </w:pPr>
            <w:r/>
            <w:r>
              <w:rPr>
                <w:rFonts w:ascii="Noto Sans CJK SC" w:hAnsi="Noto Sans CJK SC" w:eastAsia="Noto Sans CJK SC"/>
                <w:b/>
                <w:sz w:val="17"/>
              </w:rPr>
              <w:t>报告导出页</w:t>
            </w:r>
          </w:p>
        </w:tc>
        <w:tc>
          <w:tcPr>
            <w:tcW w:type="dxa" w:w="4535"/>
            <w:vAlign w:val="center"/>
          </w:tcPr>
          <w:p>
            <w:pPr>
              <w:spacing w:after="0" w:line="269" w:lineRule="auto"/>
            </w:pPr>
            <w:r/>
            <w:r>
              <w:rPr>
                <w:rFonts w:ascii="Noto Sans CJK SC" w:hAnsi="Noto Sans CJK SC" w:eastAsia="Noto Sans CJK SC"/>
                <w:b w:val="0"/>
                <w:sz w:val="17"/>
              </w:rPr>
              <w:t>业务员版、负责人版、法务版、证据包摘要。</w:t>
            </w:r>
          </w:p>
        </w:tc>
        <w:tc>
          <w:tcPr>
            <w:tcW w:type="dxa" w:w="3685"/>
            <w:vAlign w:val="center"/>
          </w:tcPr>
          <w:p>
            <w:pPr>
              <w:spacing w:after="0" w:line="269" w:lineRule="auto"/>
            </w:pPr>
            <w:r/>
            <w:r>
              <w:rPr>
                <w:rFonts w:ascii="Noto Sans CJK SC" w:hAnsi="Noto Sans CJK SC" w:eastAsia="Noto Sans CJK SC"/>
                <w:b w:val="0"/>
                <w:sz w:val="17"/>
              </w:rPr>
              <w:t>展示可交付成果。</w:t>
            </w:r>
          </w:p>
        </w:tc>
      </w:tr>
    </w:tbl>
    <w:p>
      <w:pPr>
        <w:spacing w:after="40"/>
      </w:pPr>
    </w:p>
    <w:p>
      <w:r>
        <w:br w:type="page"/>
      </w:r>
    </w:p>
    <w:p>
      <w:pPr>
        <w:pStyle w:val="Heading1"/>
        <w:spacing w:before="200" w:after="80"/>
      </w:pPr>
      <w:r>
        <w:rPr>
          <w:rFonts w:ascii="Noto Sans CJK SC" w:hAnsi="Noto Sans CJK SC" w:eastAsia="Noto Sans CJK SC"/>
          <w:b/>
          <w:color w:val="1F4E79"/>
          <w:sz w:val="30"/>
        </w:rPr>
        <w:t>六、风险规则库初始化方法</w:t>
      </w:r>
    </w:p>
    <w:p>
      <w:pPr>
        <w:spacing w:after="100" w:line="283" w:lineRule="auto"/>
        <w:ind w:firstLine="420"/>
      </w:pPr>
      <w:r>
        <w:rPr>
          <w:rFonts w:ascii="Noto Sans CJK SC" w:hAnsi="Noto Sans CJK SC" w:eastAsia="Noto Sans CJK SC"/>
          <w:sz w:val="21"/>
        </w:rPr>
        <w:t>风险规则库是 TradeLaw AI 的法律专业性核心。不能简单写成“团队自行设计规则”，而应写成“规则来源可追溯、触发条件可说明、人工复核可校验”。评委真正关心的是：AI 凭什么判断某个条款是高风险？规则从哪里来？有没有法律依据、国际惯例和实务案例支撑？</w:t>
      </w:r>
    </w:p>
    <w:p>
      <w:pPr>
        <w:pStyle w:val="Heading2"/>
        <w:spacing w:before="120" w:after="80"/>
      </w:pPr>
      <w:r>
        <w:rPr>
          <w:rFonts w:ascii="Noto Sans CJK SC" w:hAnsi="Noto Sans CJK SC" w:eastAsia="Noto Sans CJK SC"/>
          <w:b/>
          <w:color w:val="1F4E79"/>
          <w:sz w:val="25"/>
        </w:rPr>
        <w:t>（一）四层规则来源</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984"/>
            <w:shd w:fill="D9EAF7"/>
            <w:vAlign w:val="center"/>
          </w:tcPr>
          <w:p>
            <w:pPr>
              <w:spacing w:after="0" w:line="269" w:lineRule="auto"/>
              <w:jc w:val="center"/>
            </w:pPr>
            <w:r/>
            <w:r>
              <w:rPr>
                <w:rFonts w:ascii="Noto Sans CJK SC" w:hAnsi="Noto Sans CJK SC" w:eastAsia="Noto Sans CJK SC"/>
                <w:b/>
                <w:color w:val="1F4E79"/>
                <w:sz w:val="16"/>
              </w:rPr>
              <w:t>规则来源</w:t>
            </w:r>
          </w:p>
        </w:tc>
        <w:tc>
          <w:tcPr>
            <w:tcW w:type="dxa" w:w="3969"/>
            <w:shd w:fill="D9EAF7"/>
            <w:vAlign w:val="center"/>
          </w:tcPr>
          <w:p>
            <w:pPr>
              <w:spacing w:after="0" w:line="269" w:lineRule="auto"/>
              <w:jc w:val="center"/>
            </w:pPr>
            <w:r/>
            <w:r>
              <w:rPr>
                <w:rFonts w:ascii="Noto Sans CJK SC" w:hAnsi="Noto Sans CJK SC" w:eastAsia="Noto Sans CJK SC"/>
                <w:b/>
                <w:color w:val="1F4E79"/>
                <w:sz w:val="16"/>
              </w:rPr>
              <w:t>内容说明</w:t>
            </w:r>
          </w:p>
        </w:tc>
        <w:tc>
          <w:tcPr>
            <w:tcW w:type="dxa" w:w="3969"/>
            <w:shd w:fill="D9EAF7"/>
            <w:vAlign w:val="center"/>
          </w:tcPr>
          <w:p>
            <w:pPr>
              <w:spacing w:after="0" w:line="269" w:lineRule="auto"/>
              <w:jc w:val="center"/>
            </w:pPr>
            <w:r/>
            <w:r>
              <w:rPr>
                <w:rFonts w:ascii="Noto Sans CJK SC" w:hAnsi="Noto Sans CJK SC" w:eastAsia="Noto Sans CJK SC"/>
                <w:b/>
                <w:color w:val="1F4E79"/>
                <w:sz w:val="16"/>
              </w:rPr>
              <w:t>产品转化方式</w:t>
            </w:r>
          </w:p>
        </w:tc>
      </w:tr>
      <w:tr>
        <w:tc>
          <w:tcPr>
            <w:tcW w:type="dxa" w:w="1984"/>
            <w:shd w:fill="F2F6FA"/>
            <w:vAlign w:val="center"/>
          </w:tcPr>
          <w:p>
            <w:pPr>
              <w:spacing w:after="0" w:line="269" w:lineRule="auto"/>
            </w:pPr>
            <w:r/>
            <w:r>
              <w:rPr>
                <w:rFonts w:ascii="Noto Sans CJK SC" w:hAnsi="Noto Sans CJK SC" w:eastAsia="Noto Sans CJK SC"/>
                <w:b/>
                <w:sz w:val="16"/>
              </w:rPr>
              <w:t>法律规范和司法规则</w:t>
            </w:r>
          </w:p>
        </w:tc>
        <w:tc>
          <w:tcPr>
            <w:tcW w:type="dxa" w:w="3969"/>
            <w:vAlign w:val="center"/>
          </w:tcPr>
          <w:p>
            <w:pPr>
              <w:spacing w:after="0" w:line="269" w:lineRule="auto"/>
            </w:pPr>
            <w:r/>
            <w:r>
              <w:rPr>
                <w:rFonts w:ascii="Noto Sans CJK SC" w:hAnsi="Noto Sans CJK SC" w:eastAsia="Noto Sans CJK SC"/>
                <w:b w:val="0"/>
                <w:sz w:val="16"/>
              </w:rPr>
              <w:t>以《民法典》合同编、合同编通则司法解释、民事诉讼证据规则、在线诉讼规则等作为基础。</w:t>
            </w:r>
          </w:p>
        </w:tc>
        <w:tc>
          <w:tcPr>
            <w:tcW w:type="dxa" w:w="3969"/>
            <w:vAlign w:val="center"/>
          </w:tcPr>
          <w:p>
            <w:pPr>
              <w:spacing w:after="0" w:line="269" w:lineRule="auto"/>
            </w:pPr>
            <w:r/>
            <w:r>
              <w:rPr>
                <w:rFonts w:ascii="Noto Sans CJK SC" w:hAnsi="Noto Sans CJK SC" w:eastAsia="Noto Sans CJK SC"/>
                <w:b w:val="0"/>
                <w:sz w:val="16"/>
              </w:rPr>
              <w:t>抽取合同成立、书面形式、合同内容、合同解释、电子数据真实性审查等规则，转化为审查维度和证据提示。</w:t>
            </w:r>
          </w:p>
        </w:tc>
      </w:tr>
      <w:tr>
        <w:tc>
          <w:tcPr>
            <w:tcW w:type="dxa" w:w="1984"/>
            <w:shd w:fill="F2F6FA"/>
            <w:vAlign w:val="center"/>
          </w:tcPr>
          <w:p>
            <w:pPr>
              <w:spacing w:after="0" w:line="269" w:lineRule="auto"/>
            </w:pPr>
            <w:r/>
            <w:r>
              <w:rPr>
                <w:rFonts w:ascii="Noto Sans CJK SC" w:hAnsi="Noto Sans CJK SC" w:eastAsia="Noto Sans CJK SC"/>
                <w:b/>
                <w:sz w:val="16"/>
              </w:rPr>
              <w:t>国际贸易惯例</w:t>
            </w:r>
          </w:p>
        </w:tc>
        <w:tc>
          <w:tcPr>
            <w:tcW w:type="dxa" w:w="3969"/>
            <w:vAlign w:val="center"/>
          </w:tcPr>
          <w:p>
            <w:pPr>
              <w:spacing w:after="0" w:line="269" w:lineRule="auto"/>
            </w:pPr>
            <w:r/>
            <w:r>
              <w:rPr>
                <w:rFonts w:ascii="Noto Sans CJK SC" w:hAnsi="Noto Sans CJK SC" w:eastAsia="Noto Sans CJK SC"/>
                <w:b w:val="0"/>
                <w:sz w:val="16"/>
              </w:rPr>
              <w:t>以 Incoterms 2020、常见付款方式、单据流转和国际货物买卖实务为基础。</w:t>
            </w:r>
          </w:p>
        </w:tc>
        <w:tc>
          <w:tcPr>
            <w:tcW w:type="dxa" w:w="3969"/>
            <w:vAlign w:val="center"/>
          </w:tcPr>
          <w:p>
            <w:pPr>
              <w:spacing w:after="0" w:line="269" w:lineRule="auto"/>
            </w:pPr>
            <w:r/>
            <w:r>
              <w:rPr>
                <w:rFonts w:ascii="Noto Sans CJK SC" w:hAnsi="Noto Sans CJK SC" w:eastAsia="Noto Sans CJK SC"/>
                <w:b w:val="0"/>
                <w:sz w:val="16"/>
              </w:rPr>
              <w:t>把贸易术语下的风险、费用和责任分配转化为目的国交易注意事项和条款风险卡片。</w:t>
            </w:r>
          </w:p>
        </w:tc>
      </w:tr>
      <w:tr>
        <w:tc>
          <w:tcPr>
            <w:tcW w:type="dxa" w:w="1984"/>
            <w:shd w:fill="F2F6FA"/>
            <w:vAlign w:val="center"/>
          </w:tcPr>
          <w:p>
            <w:pPr>
              <w:spacing w:after="0" w:line="269" w:lineRule="auto"/>
            </w:pPr>
            <w:r/>
            <w:r>
              <w:rPr>
                <w:rFonts w:ascii="Noto Sans CJK SC" w:hAnsi="Noto Sans CJK SC" w:eastAsia="Noto Sans CJK SC"/>
                <w:b/>
                <w:sz w:val="16"/>
              </w:rPr>
              <w:t>外贸实务案例</w:t>
            </w:r>
          </w:p>
        </w:tc>
        <w:tc>
          <w:tcPr>
            <w:tcW w:type="dxa" w:w="3969"/>
            <w:vAlign w:val="center"/>
          </w:tcPr>
          <w:p>
            <w:pPr>
              <w:spacing w:after="0" w:line="269" w:lineRule="auto"/>
            </w:pPr>
            <w:r/>
            <w:r>
              <w:rPr>
                <w:rFonts w:ascii="Noto Sans CJK SC" w:hAnsi="Noto Sans CJK SC" w:eastAsia="Noto Sans CJK SC"/>
                <w:b w:val="0"/>
                <w:sz w:val="16"/>
              </w:rPr>
              <w:t>公开案例、行业访谈、团队构造的模拟案例、老师或律师校验过的条款样本。</w:t>
            </w:r>
          </w:p>
        </w:tc>
        <w:tc>
          <w:tcPr>
            <w:tcW w:type="dxa" w:w="3969"/>
            <w:vAlign w:val="center"/>
          </w:tcPr>
          <w:p>
            <w:pPr>
              <w:spacing w:after="0" w:line="269" w:lineRule="auto"/>
            </w:pPr>
            <w:r/>
            <w:r>
              <w:rPr>
                <w:rFonts w:ascii="Noto Sans CJK SC" w:hAnsi="Noto Sans CJK SC" w:eastAsia="Noto Sans CJK SC"/>
                <w:b w:val="0"/>
                <w:sz w:val="16"/>
              </w:rPr>
              <w:t>把尾款、验货、质量异议、提单控制、目的港费用、争议解决等高频问题转化为风险规则。</w:t>
            </w:r>
          </w:p>
        </w:tc>
      </w:tr>
      <w:tr>
        <w:tc>
          <w:tcPr>
            <w:tcW w:type="dxa" w:w="1984"/>
            <w:shd w:fill="F2F6FA"/>
            <w:vAlign w:val="center"/>
          </w:tcPr>
          <w:p>
            <w:pPr>
              <w:spacing w:after="0" w:line="269" w:lineRule="auto"/>
            </w:pPr>
            <w:r/>
            <w:r>
              <w:rPr>
                <w:rFonts w:ascii="Noto Sans CJK SC" w:hAnsi="Noto Sans CJK SC" w:eastAsia="Noto Sans CJK SC"/>
                <w:b/>
                <w:sz w:val="16"/>
              </w:rPr>
              <w:t>人工复核反馈</w:t>
            </w:r>
          </w:p>
        </w:tc>
        <w:tc>
          <w:tcPr>
            <w:tcW w:type="dxa" w:w="3969"/>
            <w:vAlign w:val="center"/>
          </w:tcPr>
          <w:p>
            <w:pPr>
              <w:spacing w:after="0" w:line="269" w:lineRule="auto"/>
            </w:pPr>
            <w:r/>
            <w:r>
              <w:rPr>
                <w:rFonts w:ascii="Noto Sans CJK SC" w:hAnsi="Noto Sans CJK SC" w:eastAsia="Noto Sans CJK SC"/>
                <w:b w:val="0"/>
                <w:sz w:val="16"/>
              </w:rPr>
              <w:t>法务、律师或负责人对 AI 判断作出的确认、修改或驳回意见。</w:t>
            </w:r>
          </w:p>
        </w:tc>
        <w:tc>
          <w:tcPr>
            <w:tcW w:type="dxa" w:w="3969"/>
            <w:vAlign w:val="center"/>
          </w:tcPr>
          <w:p>
            <w:pPr>
              <w:spacing w:after="0" w:line="269" w:lineRule="auto"/>
            </w:pPr>
            <w:r/>
            <w:r>
              <w:rPr>
                <w:rFonts w:ascii="Noto Sans CJK SC" w:hAnsi="Noto Sans CJK SC" w:eastAsia="Noto Sans CJK SC"/>
                <w:b w:val="0"/>
                <w:sz w:val="16"/>
              </w:rPr>
              <w:t>每次复核沉淀为企业偏好和规则版本，提升下一次审查的一致性。</w:t>
            </w:r>
          </w:p>
        </w:tc>
      </w:tr>
    </w:tbl>
    <w:p>
      <w:pPr>
        <w:spacing w:after="40"/>
      </w:pPr>
    </w:p>
    <w:p>
      <w:pPr>
        <w:pStyle w:val="Heading2"/>
        <w:spacing w:before="120" w:after="80"/>
      </w:pPr>
      <w:r>
        <w:rPr>
          <w:rFonts w:ascii="Noto Sans CJK SC" w:hAnsi="Noto Sans CJK SC" w:eastAsia="Noto Sans CJK SC"/>
          <w:b/>
          <w:color w:val="1F4E79"/>
          <w:sz w:val="25"/>
        </w:rPr>
        <w:t>（二）规则卡片字段</w:t>
      </w:r>
    </w:p>
    <w:p>
      <w:pPr>
        <w:spacing w:after="100" w:line="283" w:lineRule="auto"/>
        <w:ind w:firstLine="420"/>
      </w:pPr>
      <w:r>
        <w:rPr>
          <w:rFonts w:ascii="Noto Sans CJK SC" w:hAnsi="Noto Sans CJK SC" w:eastAsia="Noto Sans CJK SC"/>
          <w:sz w:val="21"/>
        </w:rPr>
        <w:t>每条规则建议包含以下字段：规则编号、风险类型、适用场景、触发条件、风险等级、业务解释、建议修改、需要补充的材料、是否必须人工复核、规则来源和最后更新时间。</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61"/>
        <w:gridCol w:w="4961"/>
      </w:tblGrid>
      <w:tr>
        <w:tc>
          <w:tcPr>
            <w:tcW w:type="dxa" w:w="2154"/>
            <w:shd w:fill="D9EAF7"/>
            <w:vAlign w:val="center"/>
          </w:tcPr>
          <w:p>
            <w:pPr>
              <w:spacing w:after="0" w:line="269" w:lineRule="auto"/>
              <w:jc w:val="center"/>
            </w:pPr>
            <w:r/>
            <w:r>
              <w:rPr>
                <w:rFonts w:ascii="Noto Sans CJK SC" w:hAnsi="Noto Sans CJK SC" w:eastAsia="Noto Sans CJK SC"/>
                <w:b/>
                <w:color w:val="1F4E79"/>
                <w:sz w:val="17"/>
              </w:rPr>
              <w:t>字段</w:t>
            </w:r>
          </w:p>
        </w:tc>
        <w:tc>
          <w:tcPr>
            <w:tcW w:type="dxa" w:w="7824"/>
            <w:shd w:fill="D9EAF7"/>
            <w:vAlign w:val="center"/>
          </w:tcPr>
          <w:p>
            <w:pPr>
              <w:spacing w:after="0" w:line="269" w:lineRule="auto"/>
              <w:jc w:val="center"/>
            </w:pPr>
            <w:r/>
            <w:r>
              <w:rPr>
                <w:rFonts w:ascii="Noto Sans CJK SC" w:hAnsi="Noto Sans CJK SC" w:eastAsia="Noto Sans CJK SC"/>
                <w:b/>
                <w:color w:val="1F4E79"/>
                <w:sz w:val="17"/>
              </w:rPr>
              <w:t>示例</w:t>
            </w:r>
          </w:p>
        </w:tc>
      </w:tr>
      <w:tr>
        <w:tc>
          <w:tcPr>
            <w:tcW w:type="dxa" w:w="2154"/>
            <w:shd w:fill="F2F6FA"/>
            <w:vAlign w:val="center"/>
          </w:tcPr>
          <w:p>
            <w:pPr>
              <w:spacing w:after="0" w:line="269" w:lineRule="auto"/>
            </w:pPr>
            <w:r/>
            <w:r>
              <w:rPr>
                <w:rFonts w:ascii="Noto Sans CJK SC" w:hAnsi="Noto Sans CJK SC" w:eastAsia="Noto Sans CJK SC"/>
                <w:b/>
                <w:sz w:val="17"/>
              </w:rPr>
              <w:t>规则编号</w:t>
            </w:r>
          </w:p>
        </w:tc>
        <w:tc>
          <w:tcPr>
            <w:tcW w:type="dxa" w:w="7824"/>
            <w:vAlign w:val="center"/>
          </w:tcPr>
          <w:p>
            <w:pPr>
              <w:spacing w:after="0" w:line="269" w:lineRule="auto"/>
            </w:pPr>
            <w:r/>
            <w:r>
              <w:rPr>
                <w:rFonts w:ascii="Noto Sans CJK SC" w:hAnsi="Noto Sans CJK SC" w:eastAsia="Noto Sans CJK SC"/>
                <w:b w:val="0"/>
                <w:sz w:val="17"/>
              </w:rPr>
              <w:t>R-PAY-001</w:t>
            </w:r>
          </w:p>
        </w:tc>
      </w:tr>
      <w:tr>
        <w:tc>
          <w:tcPr>
            <w:tcW w:type="dxa" w:w="2154"/>
            <w:shd w:fill="F2F6FA"/>
            <w:vAlign w:val="center"/>
          </w:tcPr>
          <w:p>
            <w:pPr>
              <w:spacing w:after="0" w:line="269" w:lineRule="auto"/>
            </w:pPr>
            <w:r/>
            <w:r>
              <w:rPr>
                <w:rFonts w:ascii="Noto Sans CJK SC" w:hAnsi="Noto Sans CJK SC" w:eastAsia="Noto Sans CJK SC"/>
                <w:b/>
                <w:sz w:val="17"/>
              </w:rPr>
              <w:t>风险类型</w:t>
            </w:r>
          </w:p>
        </w:tc>
        <w:tc>
          <w:tcPr>
            <w:tcW w:type="dxa" w:w="7824"/>
            <w:vAlign w:val="center"/>
          </w:tcPr>
          <w:p>
            <w:pPr>
              <w:spacing w:after="0" w:line="269" w:lineRule="auto"/>
            </w:pPr>
            <w:r/>
            <w:r>
              <w:rPr>
                <w:rFonts w:ascii="Noto Sans CJK SC" w:hAnsi="Noto Sans CJK SC" w:eastAsia="Noto Sans CJK SC"/>
                <w:b w:val="0"/>
                <w:sz w:val="17"/>
              </w:rPr>
              <w:t>尾款回收风险</w:t>
            </w:r>
          </w:p>
        </w:tc>
      </w:tr>
      <w:tr>
        <w:tc>
          <w:tcPr>
            <w:tcW w:type="dxa" w:w="2154"/>
            <w:shd w:fill="F2F6FA"/>
            <w:vAlign w:val="center"/>
          </w:tcPr>
          <w:p>
            <w:pPr>
              <w:spacing w:after="0" w:line="269" w:lineRule="auto"/>
            </w:pPr>
            <w:r/>
            <w:r>
              <w:rPr>
                <w:rFonts w:ascii="Noto Sans CJK SC" w:hAnsi="Noto Sans CJK SC" w:eastAsia="Noto Sans CJK SC"/>
                <w:b/>
                <w:sz w:val="17"/>
              </w:rPr>
              <w:t>适用场景</w:t>
            </w:r>
          </w:p>
        </w:tc>
        <w:tc>
          <w:tcPr>
            <w:tcW w:type="dxa" w:w="7824"/>
            <w:vAlign w:val="center"/>
          </w:tcPr>
          <w:p>
            <w:pPr>
              <w:spacing w:after="0" w:line="269" w:lineRule="auto"/>
            </w:pPr>
            <w:r/>
            <w:r>
              <w:rPr>
                <w:rFonts w:ascii="Noto Sans CJK SC" w:hAnsi="Noto Sans CJK SC" w:eastAsia="Noto Sans CJK SC"/>
                <w:b w:val="0"/>
                <w:sz w:val="17"/>
              </w:rPr>
              <w:t>出口东南亚订单；买方首次合作；货物离境后卖方控制力降低的交易。</w:t>
            </w:r>
          </w:p>
        </w:tc>
      </w:tr>
      <w:tr>
        <w:tc>
          <w:tcPr>
            <w:tcW w:type="dxa" w:w="2154"/>
            <w:shd w:fill="F2F6FA"/>
            <w:vAlign w:val="center"/>
          </w:tcPr>
          <w:p>
            <w:pPr>
              <w:spacing w:after="0" w:line="269" w:lineRule="auto"/>
            </w:pPr>
            <w:r/>
            <w:r>
              <w:rPr>
                <w:rFonts w:ascii="Noto Sans CJK SC" w:hAnsi="Noto Sans CJK SC" w:eastAsia="Noto Sans CJK SC"/>
                <w:b/>
                <w:sz w:val="17"/>
              </w:rPr>
              <w:t>触发条件</w:t>
            </w:r>
          </w:p>
        </w:tc>
        <w:tc>
          <w:tcPr>
            <w:tcW w:type="dxa" w:w="7824"/>
            <w:vAlign w:val="center"/>
          </w:tcPr>
          <w:p>
            <w:pPr>
              <w:spacing w:after="0" w:line="269" w:lineRule="auto"/>
            </w:pPr>
            <w:r/>
            <w:r>
              <w:rPr>
                <w:rFonts w:ascii="Noto Sans CJK SC" w:hAnsi="Noto Sans CJK SC" w:eastAsia="Noto Sans CJK SC"/>
                <w:b w:val="0"/>
                <w:sz w:val="17"/>
              </w:rPr>
              <w:t>合同约定“balance paid after arrival / after resale / after buyer inspection”，且无信用证、担保、提单控制或逾期付款责任。</w:t>
            </w:r>
          </w:p>
        </w:tc>
      </w:tr>
      <w:tr>
        <w:tc>
          <w:tcPr>
            <w:tcW w:type="dxa" w:w="2154"/>
            <w:shd w:fill="F2F6FA"/>
            <w:vAlign w:val="center"/>
          </w:tcPr>
          <w:p>
            <w:pPr>
              <w:spacing w:after="0" w:line="269" w:lineRule="auto"/>
            </w:pPr>
            <w:r/>
            <w:r>
              <w:rPr>
                <w:rFonts w:ascii="Noto Sans CJK SC" w:hAnsi="Noto Sans CJK SC" w:eastAsia="Noto Sans CJK SC"/>
                <w:b/>
                <w:sz w:val="17"/>
              </w:rPr>
              <w:t>风险等级</w:t>
            </w:r>
          </w:p>
        </w:tc>
        <w:tc>
          <w:tcPr>
            <w:tcW w:type="dxa" w:w="7824"/>
            <w:vAlign w:val="center"/>
          </w:tcPr>
          <w:p>
            <w:pPr>
              <w:spacing w:after="0" w:line="269" w:lineRule="auto"/>
            </w:pPr>
            <w:r/>
            <w:r>
              <w:rPr>
                <w:rFonts w:ascii="Noto Sans CJK SC" w:hAnsi="Noto Sans CJK SC" w:eastAsia="Noto Sans CJK SC"/>
                <w:b w:val="0"/>
                <w:sz w:val="17"/>
              </w:rPr>
              <w:t>红色</w:t>
            </w:r>
          </w:p>
        </w:tc>
      </w:tr>
      <w:tr>
        <w:tc>
          <w:tcPr>
            <w:tcW w:type="dxa" w:w="2154"/>
            <w:shd w:fill="F2F6FA"/>
            <w:vAlign w:val="center"/>
          </w:tcPr>
          <w:p>
            <w:pPr>
              <w:spacing w:after="0" w:line="269" w:lineRule="auto"/>
            </w:pPr>
            <w:r/>
            <w:r>
              <w:rPr>
                <w:rFonts w:ascii="Noto Sans CJK SC" w:hAnsi="Noto Sans CJK SC" w:eastAsia="Noto Sans CJK SC"/>
                <w:b/>
                <w:sz w:val="17"/>
              </w:rPr>
              <w:t>业务解释</w:t>
            </w:r>
          </w:p>
        </w:tc>
        <w:tc>
          <w:tcPr>
            <w:tcW w:type="dxa" w:w="7824"/>
            <w:vAlign w:val="center"/>
          </w:tcPr>
          <w:p>
            <w:pPr>
              <w:spacing w:after="0" w:line="269" w:lineRule="auto"/>
            </w:pPr>
            <w:r/>
            <w:r>
              <w:rPr>
                <w:rFonts w:ascii="Noto Sans CJK SC" w:hAnsi="Noto Sans CJK SC" w:eastAsia="Noto Sans CJK SC"/>
                <w:b w:val="0"/>
                <w:sz w:val="17"/>
              </w:rPr>
              <w:t>货物已离境或交付后，卖方对货物和单据控制力下降，买方拒付时追偿成本高。</w:t>
            </w:r>
          </w:p>
        </w:tc>
      </w:tr>
      <w:tr>
        <w:tc>
          <w:tcPr>
            <w:tcW w:type="dxa" w:w="2154"/>
            <w:shd w:fill="F2F6FA"/>
            <w:vAlign w:val="center"/>
          </w:tcPr>
          <w:p>
            <w:pPr>
              <w:spacing w:after="0" w:line="269" w:lineRule="auto"/>
            </w:pPr>
            <w:r/>
            <w:r>
              <w:rPr>
                <w:rFonts w:ascii="Noto Sans CJK SC" w:hAnsi="Noto Sans CJK SC" w:eastAsia="Noto Sans CJK SC"/>
                <w:b/>
                <w:sz w:val="17"/>
              </w:rPr>
              <w:t>建议修改</w:t>
            </w:r>
          </w:p>
        </w:tc>
        <w:tc>
          <w:tcPr>
            <w:tcW w:type="dxa" w:w="7824"/>
            <w:vAlign w:val="center"/>
          </w:tcPr>
          <w:p>
            <w:pPr>
              <w:spacing w:after="0" w:line="269" w:lineRule="auto"/>
            </w:pPr>
            <w:r/>
            <w:r>
              <w:rPr>
                <w:rFonts w:ascii="Noto Sans CJK SC" w:hAnsi="Noto Sans CJK SC" w:eastAsia="Noto Sans CJK SC"/>
                <w:b w:val="0"/>
                <w:sz w:val="17"/>
              </w:rPr>
              <w:t>改为发货前付清尾款、凭提单副本付款、信用证付款，或补充逾期付款责任和暂停发货权利。</w:t>
            </w:r>
          </w:p>
        </w:tc>
      </w:tr>
      <w:tr>
        <w:tc>
          <w:tcPr>
            <w:tcW w:type="dxa" w:w="2154"/>
            <w:shd w:fill="F2F6FA"/>
            <w:vAlign w:val="center"/>
          </w:tcPr>
          <w:p>
            <w:pPr>
              <w:spacing w:after="0" w:line="269" w:lineRule="auto"/>
            </w:pPr>
            <w:r/>
            <w:r>
              <w:rPr>
                <w:rFonts w:ascii="Noto Sans CJK SC" w:hAnsi="Noto Sans CJK SC" w:eastAsia="Noto Sans CJK SC"/>
                <w:b/>
                <w:sz w:val="17"/>
              </w:rPr>
              <w:t>人工复核</w:t>
            </w:r>
          </w:p>
        </w:tc>
        <w:tc>
          <w:tcPr>
            <w:tcW w:type="dxa" w:w="7824"/>
            <w:vAlign w:val="center"/>
          </w:tcPr>
          <w:p>
            <w:pPr>
              <w:spacing w:after="0" w:line="269" w:lineRule="auto"/>
            </w:pPr>
            <w:r/>
            <w:r>
              <w:rPr>
                <w:rFonts w:ascii="Noto Sans CJK SC" w:hAnsi="Noto Sans CJK SC" w:eastAsia="Noto Sans CJK SC"/>
                <w:b w:val="0"/>
                <w:sz w:val="17"/>
              </w:rPr>
              <w:t>订单金额超过企业阈值、买方首次合作或付款条件明显不利时，必须由法务/负责人复核。</w:t>
            </w:r>
          </w:p>
        </w:tc>
      </w:tr>
      <w:tr>
        <w:tc>
          <w:tcPr>
            <w:tcW w:type="dxa" w:w="2154"/>
            <w:shd w:fill="F2F6FA"/>
            <w:vAlign w:val="center"/>
          </w:tcPr>
          <w:p>
            <w:pPr>
              <w:spacing w:after="0" w:line="269" w:lineRule="auto"/>
            </w:pPr>
            <w:r/>
            <w:r>
              <w:rPr>
                <w:rFonts w:ascii="Noto Sans CJK SC" w:hAnsi="Noto Sans CJK SC" w:eastAsia="Noto Sans CJK SC"/>
                <w:b/>
                <w:sz w:val="17"/>
              </w:rPr>
              <w:t>规则来源</w:t>
            </w:r>
          </w:p>
        </w:tc>
        <w:tc>
          <w:tcPr>
            <w:tcW w:type="dxa" w:w="7824"/>
            <w:vAlign w:val="center"/>
          </w:tcPr>
          <w:p>
            <w:pPr>
              <w:spacing w:after="0" w:line="269" w:lineRule="auto"/>
            </w:pPr>
            <w:r/>
            <w:r>
              <w:rPr>
                <w:rFonts w:ascii="Noto Sans CJK SC" w:hAnsi="Noto Sans CJK SC" w:eastAsia="Noto Sans CJK SC"/>
                <w:b w:val="0"/>
                <w:sz w:val="17"/>
              </w:rPr>
              <w:t>合同条款审查清单、外贸实务案例、人工复核意见；与《民法典》合同内容和履行风险判断维度对应。</w:t>
            </w:r>
          </w:p>
        </w:tc>
      </w:tr>
    </w:tbl>
    <w:p>
      <w:pPr>
        <w:spacing w:after="40"/>
      </w:pPr>
    </w:p>
    <w:p>
      <w:pPr>
        <w:pStyle w:val="Heading2"/>
        <w:spacing w:before="120" w:after="80"/>
      </w:pPr>
      <w:r>
        <w:rPr>
          <w:rFonts w:ascii="Noto Sans CJK SC" w:hAnsi="Noto Sans CJK SC" w:eastAsia="Noto Sans CJK SC"/>
          <w:b/>
          <w:color w:val="1F4E79"/>
          <w:sz w:val="25"/>
        </w:rPr>
        <w:t>（三）种子规则库建议</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2098"/>
            <w:shd w:fill="D9EAF7"/>
            <w:vAlign w:val="center"/>
          </w:tcPr>
          <w:p>
            <w:pPr>
              <w:spacing w:after="0" w:line="269" w:lineRule="auto"/>
              <w:jc w:val="center"/>
            </w:pPr>
            <w:r/>
            <w:r>
              <w:rPr>
                <w:rFonts w:ascii="Noto Sans CJK SC" w:hAnsi="Noto Sans CJK SC" w:eastAsia="Noto Sans CJK SC"/>
                <w:b/>
                <w:color w:val="1F4E79"/>
                <w:sz w:val="17"/>
              </w:rPr>
              <w:t>规则类型</w:t>
            </w:r>
          </w:p>
        </w:tc>
        <w:tc>
          <w:tcPr>
            <w:tcW w:type="dxa" w:w="4706"/>
            <w:shd w:fill="D9EAF7"/>
            <w:vAlign w:val="center"/>
          </w:tcPr>
          <w:p>
            <w:pPr>
              <w:spacing w:after="0" w:line="269" w:lineRule="auto"/>
              <w:jc w:val="center"/>
            </w:pPr>
            <w:r/>
            <w:r>
              <w:rPr>
                <w:rFonts w:ascii="Noto Sans CJK SC" w:hAnsi="Noto Sans CJK SC" w:eastAsia="Noto Sans CJK SC"/>
                <w:b/>
                <w:color w:val="1F4E79"/>
                <w:sz w:val="17"/>
              </w:rPr>
              <w:t>典型触发条件</w:t>
            </w:r>
          </w:p>
        </w:tc>
        <w:tc>
          <w:tcPr>
            <w:tcW w:type="dxa" w:w="3402"/>
            <w:shd w:fill="D9EAF7"/>
            <w:vAlign w:val="center"/>
          </w:tcPr>
          <w:p>
            <w:pPr>
              <w:spacing w:after="0" w:line="269" w:lineRule="auto"/>
              <w:jc w:val="center"/>
            </w:pPr>
            <w:r/>
            <w:r>
              <w:rPr>
                <w:rFonts w:ascii="Noto Sans CJK SC" w:hAnsi="Noto Sans CJK SC" w:eastAsia="Noto Sans CJK SC"/>
                <w:b/>
                <w:color w:val="1F4E79"/>
                <w:sz w:val="17"/>
              </w:rPr>
              <w:t>MVP 输出</w:t>
            </w:r>
          </w:p>
        </w:tc>
      </w:tr>
      <w:tr>
        <w:tc>
          <w:tcPr>
            <w:tcW w:type="dxa" w:w="2098"/>
            <w:shd w:fill="F2F6FA"/>
            <w:vAlign w:val="center"/>
          </w:tcPr>
          <w:p>
            <w:pPr>
              <w:spacing w:after="0" w:line="269" w:lineRule="auto"/>
            </w:pPr>
            <w:r/>
            <w:r>
              <w:rPr>
                <w:rFonts w:ascii="Noto Sans CJK SC" w:hAnsi="Noto Sans CJK SC" w:eastAsia="Noto Sans CJK SC"/>
                <w:b/>
                <w:sz w:val="17"/>
              </w:rPr>
              <w:t>付款风险</w:t>
            </w:r>
          </w:p>
        </w:tc>
        <w:tc>
          <w:tcPr>
            <w:tcW w:type="dxa" w:w="4706"/>
            <w:vAlign w:val="center"/>
          </w:tcPr>
          <w:p>
            <w:pPr>
              <w:spacing w:after="0" w:line="269" w:lineRule="auto"/>
            </w:pPr>
            <w:r/>
            <w:r>
              <w:rPr>
                <w:rFonts w:ascii="Noto Sans CJK SC" w:hAnsi="Noto Sans CJK SC" w:eastAsia="Noto Sans CJK SC"/>
                <w:b w:val="0"/>
                <w:sz w:val="17"/>
              </w:rPr>
              <w:t>到港后付款、转售后付款、客户验收后付款、未约定逾期付款责任。</w:t>
            </w:r>
          </w:p>
        </w:tc>
        <w:tc>
          <w:tcPr>
            <w:tcW w:type="dxa" w:w="3402"/>
            <w:vAlign w:val="center"/>
          </w:tcPr>
          <w:p>
            <w:pPr>
              <w:spacing w:after="0" w:line="269" w:lineRule="auto"/>
            </w:pPr>
            <w:r/>
            <w:r>
              <w:rPr>
                <w:rFonts w:ascii="Noto Sans CJK SC" w:hAnsi="Noto Sans CJK SC" w:eastAsia="Noto Sans CJK SC"/>
                <w:b w:val="0"/>
                <w:sz w:val="17"/>
              </w:rPr>
              <w:t>红/黄风险；建议调整付款节点或增加担保、信用证、提单控制。</w:t>
            </w:r>
          </w:p>
        </w:tc>
      </w:tr>
      <w:tr>
        <w:tc>
          <w:tcPr>
            <w:tcW w:type="dxa" w:w="2098"/>
            <w:shd w:fill="F2F6FA"/>
            <w:vAlign w:val="center"/>
          </w:tcPr>
          <w:p>
            <w:pPr>
              <w:spacing w:after="0" w:line="269" w:lineRule="auto"/>
            </w:pPr>
            <w:r/>
            <w:r>
              <w:rPr>
                <w:rFonts w:ascii="Noto Sans CJK SC" w:hAnsi="Noto Sans CJK SC" w:eastAsia="Noto Sans CJK SC"/>
                <w:b/>
                <w:sz w:val="17"/>
              </w:rPr>
              <w:t>交付与贸易术语风险</w:t>
            </w:r>
          </w:p>
        </w:tc>
        <w:tc>
          <w:tcPr>
            <w:tcW w:type="dxa" w:w="4706"/>
            <w:vAlign w:val="center"/>
          </w:tcPr>
          <w:p>
            <w:pPr>
              <w:spacing w:after="0" w:line="269" w:lineRule="auto"/>
            </w:pPr>
            <w:r/>
            <w:r>
              <w:rPr>
                <w:rFonts w:ascii="Noto Sans CJK SC" w:hAnsi="Noto Sans CJK SC" w:eastAsia="Noto Sans CJK SC"/>
                <w:b w:val="0"/>
                <w:sz w:val="17"/>
              </w:rPr>
              <w:t>DDP 条款下未明确进口清关、税费、滞港费、目的国资料责任。</w:t>
            </w:r>
          </w:p>
        </w:tc>
        <w:tc>
          <w:tcPr>
            <w:tcW w:type="dxa" w:w="3402"/>
            <w:vAlign w:val="center"/>
          </w:tcPr>
          <w:p>
            <w:pPr>
              <w:spacing w:after="0" w:line="269" w:lineRule="auto"/>
            </w:pPr>
            <w:r/>
            <w:r>
              <w:rPr>
                <w:rFonts w:ascii="Noto Sans CJK SC" w:hAnsi="Noto Sans CJK SC" w:eastAsia="Noto Sans CJK SC"/>
                <w:b w:val="0"/>
                <w:sz w:val="17"/>
              </w:rPr>
              <w:t>贸易术语风险卡；提示人工复核。</w:t>
            </w:r>
          </w:p>
        </w:tc>
      </w:tr>
      <w:tr>
        <w:tc>
          <w:tcPr>
            <w:tcW w:type="dxa" w:w="2098"/>
            <w:shd w:fill="F2F6FA"/>
            <w:vAlign w:val="center"/>
          </w:tcPr>
          <w:p>
            <w:pPr>
              <w:spacing w:after="0" w:line="269" w:lineRule="auto"/>
            </w:pPr>
            <w:r/>
            <w:r>
              <w:rPr>
                <w:rFonts w:ascii="Noto Sans CJK SC" w:hAnsi="Noto Sans CJK SC" w:eastAsia="Noto Sans CJK SC"/>
                <w:b/>
                <w:sz w:val="17"/>
              </w:rPr>
              <w:t>验货和质量异议风险</w:t>
            </w:r>
          </w:p>
        </w:tc>
        <w:tc>
          <w:tcPr>
            <w:tcW w:type="dxa" w:w="4706"/>
            <w:vAlign w:val="center"/>
          </w:tcPr>
          <w:p>
            <w:pPr>
              <w:spacing w:after="0" w:line="269" w:lineRule="auto"/>
            </w:pPr>
            <w:r/>
            <w:r>
              <w:rPr>
                <w:rFonts w:ascii="Noto Sans CJK SC" w:hAnsi="Noto Sans CJK SC" w:eastAsia="Noto Sans CJK SC"/>
                <w:b w:val="0"/>
                <w:sz w:val="17"/>
              </w:rPr>
              <w:t>未约定验货期限、异议期限、验货标准或第三方检验机制。</w:t>
            </w:r>
          </w:p>
        </w:tc>
        <w:tc>
          <w:tcPr>
            <w:tcW w:type="dxa" w:w="3402"/>
            <w:vAlign w:val="center"/>
          </w:tcPr>
          <w:p>
            <w:pPr>
              <w:spacing w:after="0" w:line="269" w:lineRule="auto"/>
            </w:pPr>
            <w:r/>
            <w:r>
              <w:rPr>
                <w:rFonts w:ascii="Noto Sans CJK SC" w:hAnsi="Noto Sans CJK SC" w:eastAsia="Noto Sans CJK SC"/>
                <w:b w:val="0"/>
                <w:sz w:val="17"/>
              </w:rPr>
              <w:t>建议明确验货节点、异议期限、证明材料和默认验收规则。</w:t>
            </w:r>
          </w:p>
        </w:tc>
      </w:tr>
      <w:tr>
        <w:tc>
          <w:tcPr>
            <w:tcW w:type="dxa" w:w="2098"/>
            <w:shd w:fill="F2F6FA"/>
            <w:vAlign w:val="center"/>
          </w:tcPr>
          <w:p>
            <w:pPr>
              <w:spacing w:after="0" w:line="269" w:lineRule="auto"/>
            </w:pPr>
            <w:r/>
            <w:r>
              <w:rPr>
                <w:rFonts w:ascii="Noto Sans CJK SC" w:hAnsi="Noto Sans CJK SC" w:eastAsia="Noto Sans CJK SC"/>
                <w:b/>
                <w:sz w:val="17"/>
              </w:rPr>
              <w:t>争议解决风险</w:t>
            </w:r>
          </w:p>
        </w:tc>
        <w:tc>
          <w:tcPr>
            <w:tcW w:type="dxa" w:w="4706"/>
            <w:vAlign w:val="center"/>
          </w:tcPr>
          <w:p>
            <w:pPr>
              <w:spacing w:after="0" w:line="269" w:lineRule="auto"/>
            </w:pPr>
            <w:r/>
            <w:r>
              <w:rPr>
                <w:rFonts w:ascii="Noto Sans CJK SC" w:hAnsi="Noto Sans CJK SC" w:eastAsia="Noto Sans CJK SC"/>
                <w:b w:val="0"/>
                <w:sz w:val="17"/>
              </w:rPr>
              <w:t>未约定适用法律、争议解决方式、仲裁地或法院管辖。</w:t>
            </w:r>
          </w:p>
        </w:tc>
        <w:tc>
          <w:tcPr>
            <w:tcW w:type="dxa" w:w="3402"/>
            <w:vAlign w:val="center"/>
          </w:tcPr>
          <w:p>
            <w:pPr>
              <w:spacing w:after="0" w:line="269" w:lineRule="auto"/>
            </w:pPr>
            <w:r/>
            <w:r>
              <w:rPr>
                <w:rFonts w:ascii="Noto Sans CJK SC" w:hAnsi="Noto Sans CJK SC" w:eastAsia="Noto Sans CJK SC"/>
                <w:b w:val="0"/>
                <w:sz w:val="17"/>
              </w:rPr>
              <w:t>黄色/红色风险；提示法务复核。</w:t>
            </w:r>
          </w:p>
        </w:tc>
      </w:tr>
      <w:tr>
        <w:tc>
          <w:tcPr>
            <w:tcW w:type="dxa" w:w="2098"/>
            <w:shd w:fill="F2F6FA"/>
            <w:vAlign w:val="center"/>
          </w:tcPr>
          <w:p>
            <w:pPr>
              <w:spacing w:after="0" w:line="269" w:lineRule="auto"/>
            </w:pPr>
            <w:r/>
            <w:r>
              <w:rPr>
                <w:rFonts w:ascii="Noto Sans CJK SC" w:hAnsi="Noto Sans CJK SC" w:eastAsia="Noto Sans CJK SC"/>
                <w:b/>
                <w:sz w:val="17"/>
              </w:rPr>
              <w:t>单据和证据风险</w:t>
            </w:r>
          </w:p>
        </w:tc>
        <w:tc>
          <w:tcPr>
            <w:tcW w:type="dxa" w:w="4706"/>
            <w:vAlign w:val="center"/>
          </w:tcPr>
          <w:p>
            <w:pPr>
              <w:spacing w:after="0" w:line="269" w:lineRule="auto"/>
            </w:pPr>
            <w:r/>
            <w:r>
              <w:rPr>
                <w:rFonts w:ascii="Noto Sans CJK SC" w:hAnsi="Noto Sans CJK SC" w:eastAsia="Noto Sans CJK SC"/>
                <w:b w:val="0"/>
                <w:sz w:val="17"/>
              </w:rPr>
              <w:t>缺少提单、装箱单、发票、质检报告、收货确认或催款记录。</w:t>
            </w:r>
          </w:p>
        </w:tc>
        <w:tc>
          <w:tcPr>
            <w:tcW w:type="dxa" w:w="3402"/>
            <w:vAlign w:val="center"/>
          </w:tcPr>
          <w:p>
            <w:pPr>
              <w:spacing w:after="0" w:line="269" w:lineRule="auto"/>
            </w:pPr>
            <w:r/>
            <w:r>
              <w:rPr>
                <w:rFonts w:ascii="Noto Sans CJK SC" w:hAnsi="Noto Sans CJK SC" w:eastAsia="Noto Sans CJK SC"/>
                <w:b w:val="0"/>
                <w:sz w:val="17"/>
              </w:rPr>
              <w:t>证据缺口清单；提示补充或保存材料。</w:t>
            </w:r>
          </w:p>
        </w:tc>
      </w:tr>
      <w:tr>
        <w:tc>
          <w:tcPr>
            <w:tcW w:type="dxa" w:w="2098"/>
            <w:shd w:fill="F2F6FA"/>
            <w:vAlign w:val="center"/>
          </w:tcPr>
          <w:p>
            <w:pPr>
              <w:spacing w:after="0" w:line="269" w:lineRule="auto"/>
            </w:pPr>
            <w:r/>
            <w:r>
              <w:rPr>
                <w:rFonts w:ascii="Noto Sans CJK SC" w:hAnsi="Noto Sans CJK SC" w:eastAsia="Noto Sans CJK SC"/>
                <w:b/>
                <w:sz w:val="17"/>
              </w:rPr>
              <w:t>版本一致性风险</w:t>
            </w:r>
          </w:p>
        </w:tc>
        <w:tc>
          <w:tcPr>
            <w:tcW w:type="dxa" w:w="4706"/>
            <w:vAlign w:val="center"/>
          </w:tcPr>
          <w:p>
            <w:pPr>
              <w:spacing w:after="0" w:line="269" w:lineRule="auto"/>
            </w:pPr>
            <w:r/>
            <w:r>
              <w:rPr>
                <w:rFonts w:ascii="Noto Sans CJK SC" w:hAnsi="Noto Sans CJK SC" w:eastAsia="Noto Sans CJK SC"/>
                <w:b w:val="0"/>
                <w:sz w:val="17"/>
              </w:rPr>
              <w:t>合同、PO、PI、邮件确认中的价格、数量、交期、贸易术语不一致。</w:t>
            </w:r>
          </w:p>
        </w:tc>
        <w:tc>
          <w:tcPr>
            <w:tcW w:type="dxa" w:w="3402"/>
            <w:vAlign w:val="center"/>
          </w:tcPr>
          <w:p>
            <w:pPr>
              <w:spacing w:after="0" w:line="269" w:lineRule="auto"/>
            </w:pPr>
            <w:r/>
            <w:r>
              <w:rPr>
                <w:rFonts w:ascii="Noto Sans CJK SC" w:hAnsi="Noto Sans CJK SC" w:eastAsia="Noto Sans CJK SC"/>
                <w:b w:val="0"/>
                <w:sz w:val="17"/>
              </w:rPr>
              <w:t>字段冲突提示；要求人工确认最终版本。</w:t>
            </w:r>
          </w:p>
        </w:tc>
      </w:tr>
    </w:tbl>
    <w:p>
      <w:pPr>
        <w:spacing w:after="40"/>
      </w:pPr>
    </w:p>
    <w:tbl>
      <w:tblPr>
        <w:tblW w:type="auto" w:w="0"/>
        <w:jc w:val="center"/>
        <w:tblLook w:firstColumn="1" w:firstRow="1" w:lastColumn="0" w:lastRow="0" w:noHBand="0" w:noVBand="1" w:val="04A0"/>
        <w:tblBorders>
          <w:top w:val="single" w:sz="6" w:space="0" w:color="D6EAF8"/>
          <w:left w:val="single" w:sz="6" w:space="0" w:color="D6EAF8"/>
          <w:bottom w:val="single" w:sz="6" w:space="0" w:color="D6EAF8"/>
          <w:right w:val="single" w:sz="6" w:space="0" w:color="D6EAF8"/>
          <w:insideH w:val="single" w:sz="6" w:space="0" w:color="D6EAF8"/>
          <w:insideV w:val="single" w:sz="6" w:space="0" w:color="D6EAF8"/>
        </w:tblBorders>
      </w:tblPr>
      <w:tblGrid>
        <w:gridCol w:w="9922"/>
      </w:tblGrid>
      <w:tr>
        <w:tc>
          <w:tcPr>
            <w:tcW w:type="dxa" w:w="9922"/>
            <w:shd w:fill="EAF2F8"/>
          </w:tcPr>
          <w:p>
            <w:pPr>
              <w:spacing w:after="40"/>
            </w:pPr>
            <w:r>
              <w:rPr>
                <w:rFonts w:ascii="Noto Sans CJK SC" w:hAnsi="Noto Sans CJK SC" w:eastAsia="Noto Sans CJK SC"/>
                <w:b/>
                <w:color w:val="1F4E79"/>
                <w:sz w:val="22"/>
              </w:rPr>
              <w:t>法律专业性体验板块</w:t>
            </w:r>
          </w:p>
          <w:p>
            <w:pPr>
              <w:spacing w:line="276" w:lineRule="auto" w:after="20"/>
            </w:pPr>
            <w:r>
              <w:rPr>
                <w:rFonts w:ascii="Noto Sans CJK SC" w:hAnsi="Noto Sans CJK SC" w:eastAsia="Noto Sans CJK SC"/>
                <w:sz w:val="20"/>
              </w:rPr>
              <w:t>在产品中加入“命中规则说明”按钮：用户点击风险卡片，可以看到原文条款、触发规则、业务解释、建议修改和规则来源。这比单纯输出“AI 判断为高风险”更专业，也更便于法务复核。</w:t>
            </w:r>
          </w:p>
        </w:tc>
      </w:tr>
    </w:tbl>
    <w:p>
      <w:pPr>
        <w:spacing w:after="60"/>
      </w:pPr>
    </w:p>
    <w:p>
      <w:pPr>
        <w:pStyle w:val="Heading1"/>
        <w:spacing w:before="200" w:after="80"/>
      </w:pPr>
      <w:r>
        <w:rPr>
          <w:rFonts w:ascii="Noto Sans CJK SC" w:hAnsi="Noto Sans CJK SC" w:eastAsia="Noto Sans CJK SC"/>
          <w:b/>
          <w:color w:val="1F4E79"/>
          <w:sz w:val="30"/>
        </w:rPr>
        <w:t>七、技术路径与 Web 平台实现方案</w:t>
      </w:r>
    </w:p>
    <w:p>
      <w:pPr>
        <w:spacing w:after="100" w:line="283" w:lineRule="auto"/>
        <w:ind w:firstLine="420"/>
      </w:pPr>
      <w:r>
        <w:rPr>
          <w:rFonts w:ascii="Noto Sans CJK SC" w:hAnsi="Noto Sans CJK SC" w:eastAsia="Noto Sans CJK SC"/>
          <w:sz w:val="21"/>
        </w:rPr>
        <w:t>技术路径应服务于 MVP，而不是让方案显得过度工程化。第一阶段建议以 Web 平台为主要交互界面，完成订单建档、材料上传/文本导入、字段抽取、风险报告、人工复核和报告导出。底层能力可以按接口形式封装，但不需要在初赛中把 Skill、API 和企业插件作为并列产品。</w:t>
      </w:r>
    </w:p>
    <w:p>
      <w:pPr>
        <w:pStyle w:val="Heading2"/>
        <w:spacing w:before="120" w:after="80"/>
      </w:pPr>
      <w:r>
        <w:rPr>
          <w:rFonts w:ascii="Noto Sans CJK SC" w:hAnsi="Noto Sans CJK SC" w:eastAsia="Noto Sans CJK SC"/>
          <w:b/>
          <w:color w:val="1F4E79"/>
          <w:sz w:val="25"/>
        </w:rPr>
        <w:t>（一）MVP 技术组成</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71"/>
            <w:shd w:fill="D9EAF7"/>
            <w:vAlign w:val="center"/>
          </w:tcPr>
          <w:p>
            <w:pPr>
              <w:spacing w:after="0" w:line="269" w:lineRule="auto"/>
              <w:jc w:val="center"/>
            </w:pPr>
            <w:r/>
            <w:r>
              <w:rPr>
                <w:rFonts w:ascii="Noto Sans CJK SC" w:hAnsi="Noto Sans CJK SC" w:eastAsia="Noto Sans CJK SC"/>
                <w:b/>
                <w:color w:val="1F4E79"/>
                <w:sz w:val="16"/>
              </w:rPr>
              <w:t>组成</w:t>
            </w:r>
          </w:p>
        </w:tc>
        <w:tc>
          <w:tcPr>
            <w:tcW w:type="dxa" w:w="5102"/>
            <w:shd w:fill="D9EAF7"/>
            <w:vAlign w:val="center"/>
          </w:tcPr>
          <w:p>
            <w:pPr>
              <w:spacing w:after="0" w:line="269" w:lineRule="auto"/>
              <w:jc w:val="center"/>
            </w:pPr>
            <w:r/>
            <w:r>
              <w:rPr>
                <w:rFonts w:ascii="Noto Sans CJK SC" w:hAnsi="Noto Sans CJK SC" w:eastAsia="Noto Sans CJK SC"/>
                <w:b/>
                <w:color w:val="1F4E79"/>
                <w:sz w:val="16"/>
              </w:rPr>
              <w:t>MVP 中的做法</w:t>
            </w:r>
          </w:p>
        </w:tc>
        <w:tc>
          <w:tcPr>
            <w:tcW w:type="dxa" w:w="2835"/>
            <w:shd w:fill="D9EAF7"/>
            <w:vAlign w:val="center"/>
          </w:tcPr>
          <w:p>
            <w:pPr>
              <w:spacing w:after="0" w:line="269" w:lineRule="auto"/>
              <w:jc w:val="center"/>
            </w:pPr>
            <w:r/>
            <w:r>
              <w:rPr>
                <w:rFonts w:ascii="Noto Sans CJK SC" w:hAnsi="Noto Sans CJK SC" w:eastAsia="Noto Sans CJK SC"/>
                <w:b/>
                <w:color w:val="1F4E79"/>
                <w:sz w:val="16"/>
              </w:rPr>
              <w:t>作用</w:t>
            </w:r>
          </w:p>
        </w:tc>
      </w:tr>
      <w:tr>
        <w:tc>
          <w:tcPr>
            <w:tcW w:type="dxa" w:w="1871"/>
            <w:shd w:fill="F2F6FA"/>
            <w:vAlign w:val="center"/>
          </w:tcPr>
          <w:p>
            <w:pPr>
              <w:spacing w:after="0" w:line="269" w:lineRule="auto"/>
            </w:pPr>
            <w:r/>
            <w:r>
              <w:rPr>
                <w:rFonts w:ascii="Noto Sans CJK SC" w:hAnsi="Noto Sans CJK SC" w:eastAsia="Noto Sans CJK SC"/>
                <w:b/>
                <w:sz w:val="16"/>
              </w:rPr>
              <w:t>Web 工作台</w:t>
            </w:r>
          </w:p>
        </w:tc>
        <w:tc>
          <w:tcPr>
            <w:tcW w:type="dxa" w:w="5102"/>
            <w:vAlign w:val="center"/>
          </w:tcPr>
          <w:p>
            <w:pPr>
              <w:spacing w:after="0" w:line="269" w:lineRule="auto"/>
            </w:pPr>
            <w:r/>
            <w:r>
              <w:rPr>
                <w:rFonts w:ascii="Noto Sans CJK SC" w:hAnsi="Noto Sans CJK SC" w:eastAsia="Noto Sans CJK SC"/>
                <w:b w:val="0"/>
                <w:sz w:val="16"/>
              </w:rPr>
              <w:t>订单列表、订单空间、材料上传、风险报告、复核页面、报告导出。</w:t>
            </w:r>
          </w:p>
        </w:tc>
        <w:tc>
          <w:tcPr>
            <w:tcW w:type="dxa" w:w="2835"/>
            <w:vAlign w:val="center"/>
          </w:tcPr>
          <w:p>
            <w:pPr>
              <w:spacing w:after="0" w:line="269" w:lineRule="auto"/>
            </w:pPr>
            <w:r/>
            <w:r>
              <w:rPr>
                <w:rFonts w:ascii="Noto Sans CJK SC" w:hAnsi="Noto Sans CJK SC" w:eastAsia="Noto Sans CJK SC"/>
                <w:b w:val="0"/>
                <w:sz w:val="16"/>
              </w:rPr>
              <w:t>承载主要产品界面和评审展示。</w:t>
            </w:r>
          </w:p>
        </w:tc>
      </w:tr>
      <w:tr>
        <w:tc>
          <w:tcPr>
            <w:tcW w:type="dxa" w:w="1871"/>
            <w:shd w:fill="F2F6FA"/>
            <w:vAlign w:val="center"/>
          </w:tcPr>
          <w:p>
            <w:pPr>
              <w:spacing w:after="0" w:line="269" w:lineRule="auto"/>
            </w:pPr>
            <w:r/>
            <w:r>
              <w:rPr>
                <w:rFonts w:ascii="Noto Sans CJK SC" w:hAnsi="Noto Sans CJK SC" w:eastAsia="Noto Sans CJK SC"/>
                <w:b/>
                <w:sz w:val="16"/>
              </w:rPr>
              <w:t>文件/文本解析</w:t>
            </w:r>
          </w:p>
        </w:tc>
        <w:tc>
          <w:tcPr>
            <w:tcW w:type="dxa" w:w="5102"/>
            <w:vAlign w:val="center"/>
          </w:tcPr>
          <w:p>
            <w:pPr>
              <w:spacing w:after="0" w:line="269" w:lineRule="auto"/>
            </w:pPr>
            <w:r/>
            <w:r>
              <w:rPr>
                <w:rFonts w:ascii="Noto Sans CJK SC" w:hAnsi="Noto Sans CJK SC" w:eastAsia="Noto Sans CJK SC"/>
                <w:b w:val="0"/>
                <w:sz w:val="16"/>
              </w:rPr>
              <w:t>支持文本粘贴、DOCX/PDF/图片截图的演示型导入；初赛可以先以文本导入为主。</w:t>
            </w:r>
          </w:p>
        </w:tc>
        <w:tc>
          <w:tcPr>
            <w:tcW w:type="dxa" w:w="2835"/>
            <w:vAlign w:val="center"/>
          </w:tcPr>
          <w:p>
            <w:pPr>
              <w:spacing w:after="0" w:line="269" w:lineRule="auto"/>
            </w:pPr>
            <w:r/>
            <w:r>
              <w:rPr>
                <w:rFonts w:ascii="Noto Sans CJK SC" w:hAnsi="Noto Sans CJK SC" w:eastAsia="Noto Sans CJK SC"/>
                <w:b w:val="0"/>
                <w:sz w:val="16"/>
              </w:rPr>
              <w:t>从合同、PO、PI 和聊天摘要中获取可分析材料。</w:t>
            </w:r>
          </w:p>
        </w:tc>
      </w:tr>
      <w:tr>
        <w:tc>
          <w:tcPr>
            <w:tcW w:type="dxa" w:w="1871"/>
            <w:shd w:fill="F2F6FA"/>
            <w:vAlign w:val="center"/>
          </w:tcPr>
          <w:p>
            <w:pPr>
              <w:spacing w:after="0" w:line="269" w:lineRule="auto"/>
            </w:pPr>
            <w:r/>
            <w:r>
              <w:rPr>
                <w:rFonts w:ascii="Noto Sans CJK SC" w:hAnsi="Noto Sans CJK SC" w:eastAsia="Noto Sans CJK SC"/>
                <w:b/>
                <w:sz w:val="16"/>
              </w:rPr>
              <w:t>大模型能力</w:t>
            </w:r>
          </w:p>
        </w:tc>
        <w:tc>
          <w:tcPr>
            <w:tcW w:type="dxa" w:w="5102"/>
            <w:vAlign w:val="center"/>
          </w:tcPr>
          <w:p>
            <w:pPr>
              <w:spacing w:after="0" w:line="269" w:lineRule="auto"/>
            </w:pPr>
            <w:r/>
            <w:r>
              <w:rPr>
                <w:rFonts w:ascii="Noto Sans CJK SC" w:hAnsi="Noto Sans CJK SC" w:eastAsia="Noto Sans CJK SC"/>
                <w:b w:val="0"/>
                <w:sz w:val="16"/>
              </w:rPr>
              <w:t>抽取字段、总结条款、生成中文解释、生成修改建议和报告摘要。</w:t>
            </w:r>
          </w:p>
        </w:tc>
        <w:tc>
          <w:tcPr>
            <w:tcW w:type="dxa" w:w="2835"/>
            <w:vAlign w:val="center"/>
          </w:tcPr>
          <w:p>
            <w:pPr>
              <w:spacing w:after="0" w:line="269" w:lineRule="auto"/>
            </w:pPr>
            <w:r/>
            <w:r>
              <w:rPr>
                <w:rFonts w:ascii="Noto Sans CJK SC" w:hAnsi="Noto Sans CJK SC" w:eastAsia="Noto Sans CJK SC"/>
                <w:b w:val="0"/>
                <w:sz w:val="16"/>
              </w:rPr>
              <w:t>处理非结构化文本，降低业务员理解门槛。</w:t>
            </w:r>
          </w:p>
        </w:tc>
      </w:tr>
      <w:tr>
        <w:tc>
          <w:tcPr>
            <w:tcW w:type="dxa" w:w="1871"/>
            <w:shd w:fill="F2F6FA"/>
            <w:vAlign w:val="center"/>
          </w:tcPr>
          <w:p>
            <w:pPr>
              <w:spacing w:after="0" w:line="269" w:lineRule="auto"/>
            </w:pPr>
            <w:r/>
            <w:r>
              <w:rPr>
                <w:rFonts w:ascii="Noto Sans CJK SC" w:hAnsi="Noto Sans CJK SC" w:eastAsia="Noto Sans CJK SC"/>
                <w:b/>
                <w:sz w:val="16"/>
              </w:rPr>
              <w:t>规则库</w:t>
            </w:r>
          </w:p>
        </w:tc>
        <w:tc>
          <w:tcPr>
            <w:tcW w:type="dxa" w:w="5102"/>
            <w:vAlign w:val="center"/>
          </w:tcPr>
          <w:p>
            <w:pPr>
              <w:spacing w:after="0" w:line="269" w:lineRule="auto"/>
            </w:pPr>
            <w:r/>
            <w:r>
              <w:rPr>
                <w:rFonts w:ascii="Noto Sans CJK SC" w:hAnsi="Noto Sans CJK SC" w:eastAsia="Noto Sans CJK SC"/>
                <w:b w:val="0"/>
                <w:sz w:val="16"/>
              </w:rPr>
              <w:t>以 20-30 条种子规则开始，覆盖付款、交付、验货、质量、争议、证据等高频问题。</w:t>
            </w:r>
          </w:p>
        </w:tc>
        <w:tc>
          <w:tcPr>
            <w:tcW w:type="dxa" w:w="2835"/>
            <w:vAlign w:val="center"/>
          </w:tcPr>
          <w:p>
            <w:pPr>
              <w:spacing w:after="0" w:line="269" w:lineRule="auto"/>
            </w:pPr>
            <w:r/>
            <w:r>
              <w:rPr>
                <w:rFonts w:ascii="Noto Sans CJK SC" w:hAnsi="Noto Sans CJK SC" w:eastAsia="Noto Sans CJK SC"/>
                <w:b w:val="0"/>
                <w:sz w:val="16"/>
              </w:rPr>
              <w:t>提高输出稳定性和可解释性，减少纯模型误判。</w:t>
            </w:r>
          </w:p>
        </w:tc>
      </w:tr>
      <w:tr>
        <w:tc>
          <w:tcPr>
            <w:tcW w:type="dxa" w:w="1871"/>
            <w:shd w:fill="F2F6FA"/>
            <w:vAlign w:val="center"/>
          </w:tcPr>
          <w:p>
            <w:pPr>
              <w:spacing w:after="0" w:line="269" w:lineRule="auto"/>
            </w:pPr>
            <w:r/>
            <w:r>
              <w:rPr>
                <w:rFonts w:ascii="Noto Sans CJK SC" w:hAnsi="Noto Sans CJK SC" w:eastAsia="Noto Sans CJK SC"/>
                <w:b/>
                <w:sz w:val="16"/>
              </w:rPr>
              <w:t>数据库</w:t>
            </w:r>
          </w:p>
        </w:tc>
        <w:tc>
          <w:tcPr>
            <w:tcW w:type="dxa" w:w="5102"/>
            <w:vAlign w:val="center"/>
          </w:tcPr>
          <w:p>
            <w:pPr>
              <w:spacing w:after="0" w:line="269" w:lineRule="auto"/>
            </w:pPr>
            <w:r/>
            <w:r>
              <w:rPr>
                <w:rFonts w:ascii="Noto Sans CJK SC" w:hAnsi="Noto Sans CJK SC" w:eastAsia="Noto Sans CJK SC"/>
                <w:b w:val="0"/>
                <w:sz w:val="16"/>
              </w:rPr>
              <w:t>保存订单、材料、风险项、规则、复核意见和导出记录。</w:t>
            </w:r>
          </w:p>
        </w:tc>
        <w:tc>
          <w:tcPr>
            <w:tcW w:type="dxa" w:w="2835"/>
            <w:vAlign w:val="center"/>
          </w:tcPr>
          <w:p>
            <w:pPr>
              <w:spacing w:after="0" w:line="269" w:lineRule="auto"/>
            </w:pPr>
            <w:r/>
            <w:r>
              <w:rPr>
                <w:rFonts w:ascii="Noto Sans CJK SC" w:hAnsi="Noto Sans CJK SC" w:eastAsia="Noto Sans CJK SC"/>
                <w:b w:val="0"/>
                <w:sz w:val="16"/>
              </w:rPr>
              <w:t>实现协作留痕和历史复盘。</w:t>
            </w:r>
          </w:p>
        </w:tc>
      </w:tr>
      <w:tr>
        <w:tc>
          <w:tcPr>
            <w:tcW w:type="dxa" w:w="1871"/>
            <w:shd w:fill="F2F6FA"/>
            <w:vAlign w:val="center"/>
          </w:tcPr>
          <w:p>
            <w:pPr>
              <w:spacing w:after="0" w:line="269" w:lineRule="auto"/>
            </w:pPr>
            <w:r/>
            <w:r>
              <w:rPr>
                <w:rFonts w:ascii="Noto Sans CJK SC" w:hAnsi="Noto Sans CJK SC" w:eastAsia="Noto Sans CJK SC"/>
                <w:b/>
                <w:sz w:val="16"/>
              </w:rPr>
              <w:t>报告导出</w:t>
            </w:r>
          </w:p>
        </w:tc>
        <w:tc>
          <w:tcPr>
            <w:tcW w:type="dxa" w:w="5102"/>
            <w:vAlign w:val="center"/>
          </w:tcPr>
          <w:p>
            <w:pPr>
              <w:spacing w:after="0" w:line="269" w:lineRule="auto"/>
            </w:pPr>
            <w:r/>
            <w:r>
              <w:rPr>
                <w:rFonts w:ascii="Noto Sans CJK SC" w:hAnsi="Noto Sans CJK SC" w:eastAsia="Noto Sans CJK SC"/>
                <w:b w:val="0"/>
                <w:sz w:val="16"/>
              </w:rPr>
              <w:t>导出 Word/PDF 风险报告和证据包摘要。</w:t>
            </w:r>
          </w:p>
        </w:tc>
        <w:tc>
          <w:tcPr>
            <w:tcW w:type="dxa" w:w="2835"/>
            <w:vAlign w:val="center"/>
          </w:tcPr>
          <w:p>
            <w:pPr>
              <w:spacing w:after="0" w:line="269" w:lineRule="auto"/>
            </w:pPr>
            <w:r/>
            <w:r>
              <w:rPr>
                <w:rFonts w:ascii="Noto Sans CJK SC" w:hAnsi="Noto Sans CJK SC" w:eastAsia="Noto Sans CJK SC"/>
                <w:b w:val="0"/>
                <w:sz w:val="16"/>
              </w:rPr>
              <w:t>形成评委能直接看到的产品成果物。</w:t>
            </w:r>
          </w:p>
        </w:tc>
      </w:tr>
    </w:tbl>
    <w:p>
      <w:pPr>
        <w:spacing w:after="40"/>
      </w:pPr>
    </w:p>
    <w:p>
      <w:pPr>
        <w:pStyle w:val="Heading2"/>
        <w:spacing w:before="120" w:after="80"/>
      </w:pPr>
      <w:r>
        <w:rPr>
          <w:rFonts w:ascii="Noto Sans CJK SC" w:hAnsi="Noto Sans CJK SC" w:eastAsia="Noto Sans CJK SC"/>
          <w:b/>
          <w:color w:val="1F4E79"/>
          <w:sz w:val="25"/>
        </w:rPr>
        <w:t>（二）AI 分析流程</w:t>
      </w:r>
    </w:p>
    <w:p>
      <w:pPr>
        <w:spacing w:after="40" w:line="276" w:lineRule="auto"/>
        <w:ind w:left="312" w:hanging="255"/>
      </w:pPr>
      <w:r>
        <w:rPr>
          <w:rFonts w:ascii="Noto Sans CJK SC" w:hAnsi="Noto Sans CJK SC" w:eastAsia="Noto Sans CJK SC"/>
          <w:sz w:val="20"/>
        </w:rPr>
        <w:t>1.  材料识别：判断输入材料是合同、PO、PI、聊天摘要、发票、装箱单、提单还是质检报告。</w:t>
      </w:r>
    </w:p>
    <w:p>
      <w:pPr>
        <w:spacing w:after="40" w:line="276" w:lineRule="auto"/>
        <w:ind w:left="312" w:hanging="255"/>
      </w:pPr>
      <w:r>
        <w:rPr>
          <w:rFonts w:ascii="Noto Sans CJK SC" w:hAnsi="Noto Sans CJK SC" w:eastAsia="Noto Sans CJK SC"/>
          <w:sz w:val="20"/>
        </w:rPr>
        <w:t>2.  字段抽取：抽取买卖方、金额、产品、数量、目的国、贸易术语、付款节点、交期、验货方式和争议解决条款。</w:t>
      </w:r>
    </w:p>
    <w:p>
      <w:pPr>
        <w:spacing w:after="40" w:line="276" w:lineRule="auto"/>
        <w:ind w:left="312" w:hanging="255"/>
      </w:pPr>
      <w:r>
        <w:rPr>
          <w:rFonts w:ascii="Noto Sans CJK SC" w:hAnsi="Noto Sans CJK SC" w:eastAsia="Noto Sans CJK SC"/>
          <w:sz w:val="20"/>
        </w:rPr>
        <w:t>3.  规则匹配：用种子规则库匹配高频风险，生成红黄绿等级。</w:t>
      </w:r>
    </w:p>
    <w:p>
      <w:pPr>
        <w:spacing w:after="40" w:line="276" w:lineRule="auto"/>
        <w:ind w:left="312" w:hanging="255"/>
      </w:pPr>
      <w:r>
        <w:rPr>
          <w:rFonts w:ascii="Noto Sans CJK SC" w:hAnsi="Noto Sans CJK SC" w:eastAsia="Noto Sans CJK SC"/>
          <w:sz w:val="20"/>
        </w:rPr>
        <w:t>4.  业务解释：把法律和外贸风险转换成业务员能理解的中文说明。</w:t>
      </w:r>
    </w:p>
    <w:p>
      <w:pPr>
        <w:spacing w:after="40" w:line="276" w:lineRule="auto"/>
        <w:ind w:left="312" w:hanging="255"/>
      </w:pPr>
      <w:r>
        <w:rPr>
          <w:rFonts w:ascii="Noto Sans CJK SC" w:hAnsi="Noto Sans CJK SC" w:eastAsia="Noto Sans CJK SC"/>
          <w:sz w:val="20"/>
        </w:rPr>
        <w:t>5.  建议生成：给出条款修改方向、客户沟通话术、材料补充建议和是否需要人工复核。</w:t>
      </w:r>
    </w:p>
    <w:p>
      <w:pPr>
        <w:spacing w:after="40" w:line="276" w:lineRule="auto"/>
        <w:ind w:left="312" w:hanging="255"/>
      </w:pPr>
      <w:r>
        <w:rPr>
          <w:rFonts w:ascii="Noto Sans CJK SC" w:hAnsi="Noto Sans CJK SC" w:eastAsia="Noto Sans CJK SC"/>
          <w:sz w:val="20"/>
        </w:rPr>
        <w:t>6.  人工复核：法务或负责人可以确认、修改或驳回 AI 输出，形成版本留痕。</w:t>
      </w:r>
    </w:p>
    <w:p>
      <w:pPr>
        <w:pStyle w:val="Heading2"/>
        <w:spacing w:before="120" w:after="80"/>
      </w:pPr>
      <w:r>
        <w:rPr>
          <w:rFonts w:ascii="Noto Sans CJK SC" w:hAnsi="Noto Sans CJK SC" w:eastAsia="Noto Sans CJK SC"/>
          <w:b/>
          <w:color w:val="1F4E79"/>
          <w:sz w:val="25"/>
        </w:rPr>
        <w:t>（三）Skill 与 API 的定位</w:t>
      </w:r>
    </w:p>
    <w:p>
      <w:pPr>
        <w:spacing w:after="100" w:line="283" w:lineRule="auto"/>
        <w:ind w:firstLine="420"/>
      </w:pPr>
      <w:r>
        <w:rPr>
          <w:rFonts w:ascii="Noto Sans CJK SC" w:hAnsi="Noto Sans CJK SC" w:eastAsia="Noto Sans CJK SC"/>
          <w:sz w:val="21"/>
        </w:rPr>
        <w:t>Skill 和 API 不应与 Web 平台并列为三个产品。更合适的表述是：MVP 的主产品是 Web 工作台；Skill 是未来的对话式入口；API 是 Web 平台背后的能力封装，也是未来接入 CRM、ERP、订单管理平台和沟通平台的方式。</w:t>
      </w:r>
    </w:p>
    <w:p>
      <w:pPr>
        <w:spacing w:after="100" w:line="283" w:lineRule="auto"/>
        <w:ind w:firstLine="420"/>
      </w:pPr>
      <w:r>
        <w:rPr>
          <w:rFonts w:ascii="Noto Sans CJK SC" w:hAnsi="Noto Sans CJK SC" w:eastAsia="Noto Sans CJK SC"/>
          <w:sz w:val="21"/>
        </w:rPr>
        <w:t>方案中可以写：“本项目第一阶段以 Web 工作台作为主要交互界面，完成订单建档、合同审查、风险报告、人工复核和报告导出。底层能力以接口形式封装，后续可扩展为对话式入口，并接入企业现有 CRM、订单管理平台、沟通平台或外贸服务平台。”</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984"/>
            <w:shd w:fill="D9EAF7"/>
            <w:vAlign w:val="center"/>
          </w:tcPr>
          <w:p>
            <w:pPr>
              <w:spacing w:after="0" w:line="269" w:lineRule="auto"/>
              <w:jc w:val="center"/>
            </w:pPr>
            <w:r/>
            <w:r>
              <w:rPr>
                <w:rFonts w:ascii="Noto Sans CJK SC" w:hAnsi="Noto Sans CJK SC" w:eastAsia="Noto Sans CJK SC"/>
                <w:b/>
                <w:color w:val="1F4E79"/>
                <w:sz w:val="17"/>
              </w:rPr>
              <w:t>能力</w:t>
            </w:r>
          </w:p>
        </w:tc>
        <w:tc>
          <w:tcPr>
            <w:tcW w:type="dxa" w:w="4252"/>
            <w:shd w:fill="D9EAF7"/>
            <w:vAlign w:val="center"/>
          </w:tcPr>
          <w:p>
            <w:pPr>
              <w:spacing w:after="0" w:line="269" w:lineRule="auto"/>
              <w:jc w:val="center"/>
            </w:pPr>
            <w:r/>
            <w:r>
              <w:rPr>
                <w:rFonts w:ascii="Noto Sans CJK SC" w:hAnsi="Noto Sans CJK SC" w:eastAsia="Noto Sans CJK SC"/>
                <w:b/>
                <w:color w:val="1F4E79"/>
                <w:sz w:val="17"/>
              </w:rPr>
              <w:t>第一阶段定位</w:t>
            </w:r>
          </w:p>
        </w:tc>
        <w:tc>
          <w:tcPr>
            <w:tcW w:type="dxa" w:w="3969"/>
            <w:shd w:fill="D9EAF7"/>
            <w:vAlign w:val="center"/>
          </w:tcPr>
          <w:p>
            <w:pPr>
              <w:spacing w:after="0" w:line="269" w:lineRule="auto"/>
              <w:jc w:val="center"/>
            </w:pPr>
            <w:r/>
            <w:r>
              <w:rPr>
                <w:rFonts w:ascii="Noto Sans CJK SC" w:hAnsi="Noto Sans CJK SC" w:eastAsia="Noto Sans CJK SC"/>
                <w:b/>
                <w:color w:val="1F4E79"/>
                <w:sz w:val="17"/>
              </w:rPr>
              <w:t>后续扩展</w:t>
            </w:r>
          </w:p>
        </w:tc>
      </w:tr>
      <w:tr>
        <w:tc>
          <w:tcPr>
            <w:tcW w:type="dxa" w:w="1984"/>
            <w:shd w:fill="F2F6FA"/>
            <w:vAlign w:val="center"/>
          </w:tcPr>
          <w:p>
            <w:pPr>
              <w:spacing w:after="0" w:line="269" w:lineRule="auto"/>
            </w:pPr>
            <w:r/>
            <w:r>
              <w:rPr>
                <w:rFonts w:ascii="Noto Sans CJK SC" w:hAnsi="Noto Sans CJK SC" w:eastAsia="Noto Sans CJK SC"/>
                <w:b/>
                <w:sz w:val="17"/>
              </w:rPr>
              <w:t>Web 平台</w:t>
            </w:r>
          </w:p>
        </w:tc>
        <w:tc>
          <w:tcPr>
            <w:tcW w:type="dxa" w:w="4252"/>
            <w:vAlign w:val="center"/>
          </w:tcPr>
          <w:p>
            <w:pPr>
              <w:spacing w:after="0" w:line="269" w:lineRule="auto"/>
            </w:pPr>
            <w:r/>
            <w:r>
              <w:rPr>
                <w:rFonts w:ascii="Noto Sans CJK SC" w:hAnsi="Noto Sans CJK SC" w:eastAsia="Noto Sans CJK SC"/>
                <w:b w:val="0"/>
                <w:sz w:val="17"/>
              </w:rPr>
              <w:t>主产品，必须做。</w:t>
            </w:r>
          </w:p>
        </w:tc>
        <w:tc>
          <w:tcPr>
            <w:tcW w:type="dxa" w:w="3969"/>
            <w:vAlign w:val="center"/>
          </w:tcPr>
          <w:p>
            <w:pPr>
              <w:spacing w:after="0" w:line="269" w:lineRule="auto"/>
            </w:pPr>
            <w:r/>
            <w:r>
              <w:rPr>
                <w:rFonts w:ascii="Noto Sans CJK SC" w:hAnsi="Noto Sans CJK SC" w:eastAsia="Noto Sans CJK SC"/>
                <w:b w:val="0"/>
                <w:sz w:val="17"/>
              </w:rPr>
              <w:t>企业版、权限管理、管理看板。</w:t>
            </w:r>
          </w:p>
        </w:tc>
      </w:tr>
      <w:tr>
        <w:tc>
          <w:tcPr>
            <w:tcW w:type="dxa" w:w="1984"/>
            <w:shd w:fill="F2F6FA"/>
            <w:vAlign w:val="center"/>
          </w:tcPr>
          <w:p>
            <w:pPr>
              <w:spacing w:after="0" w:line="269" w:lineRule="auto"/>
            </w:pPr>
            <w:r/>
            <w:r>
              <w:rPr>
                <w:rFonts w:ascii="Noto Sans CJK SC" w:hAnsi="Noto Sans CJK SC" w:eastAsia="Noto Sans CJK SC"/>
                <w:b/>
                <w:sz w:val="17"/>
              </w:rPr>
              <w:t>对话式入口/Skill</w:t>
            </w:r>
          </w:p>
        </w:tc>
        <w:tc>
          <w:tcPr>
            <w:tcW w:type="dxa" w:w="4252"/>
            <w:vAlign w:val="center"/>
          </w:tcPr>
          <w:p>
            <w:pPr>
              <w:spacing w:after="0" w:line="269" w:lineRule="auto"/>
            </w:pPr>
            <w:r/>
            <w:r>
              <w:rPr>
                <w:rFonts w:ascii="Noto Sans CJK SC" w:hAnsi="Noto Sans CJK SC" w:eastAsia="Noto Sans CJK SC"/>
                <w:b w:val="0"/>
                <w:sz w:val="17"/>
              </w:rPr>
              <w:t>不作为 MVP 必做项，可准备对话样例。</w:t>
            </w:r>
          </w:p>
        </w:tc>
        <w:tc>
          <w:tcPr>
            <w:tcW w:type="dxa" w:w="3969"/>
            <w:vAlign w:val="center"/>
          </w:tcPr>
          <w:p>
            <w:pPr>
              <w:spacing w:after="0" w:line="269" w:lineRule="auto"/>
            </w:pPr>
            <w:r/>
            <w:r>
              <w:rPr>
                <w:rFonts w:ascii="Noto Sans CJK SC" w:hAnsi="Noto Sans CJK SC" w:eastAsia="Noto Sans CJK SC"/>
                <w:b w:val="0"/>
                <w:sz w:val="17"/>
              </w:rPr>
              <w:t>业务员用自然语言提问：“客户要求 DDP 到印尼，我需要注意什么？”</w:t>
            </w:r>
          </w:p>
        </w:tc>
      </w:tr>
      <w:tr>
        <w:tc>
          <w:tcPr>
            <w:tcW w:type="dxa" w:w="1984"/>
            <w:shd w:fill="F2F6FA"/>
            <w:vAlign w:val="center"/>
          </w:tcPr>
          <w:p>
            <w:pPr>
              <w:spacing w:after="0" w:line="269" w:lineRule="auto"/>
            </w:pPr>
            <w:r/>
            <w:r>
              <w:rPr>
                <w:rFonts w:ascii="Noto Sans CJK SC" w:hAnsi="Noto Sans CJK SC" w:eastAsia="Noto Sans CJK SC"/>
                <w:b/>
                <w:sz w:val="17"/>
              </w:rPr>
              <w:t>API</w:t>
            </w:r>
          </w:p>
        </w:tc>
        <w:tc>
          <w:tcPr>
            <w:tcW w:type="dxa" w:w="4252"/>
            <w:vAlign w:val="center"/>
          </w:tcPr>
          <w:p>
            <w:pPr>
              <w:spacing w:after="0" w:line="269" w:lineRule="auto"/>
            </w:pPr>
            <w:r/>
            <w:r>
              <w:rPr>
                <w:rFonts w:ascii="Noto Sans CJK SC" w:hAnsi="Noto Sans CJK SC" w:eastAsia="Noto Sans CJK SC"/>
                <w:b w:val="0"/>
                <w:sz w:val="17"/>
              </w:rPr>
              <w:t>作为后端能力封装思路，不必完整开放。</w:t>
            </w:r>
          </w:p>
        </w:tc>
        <w:tc>
          <w:tcPr>
            <w:tcW w:type="dxa" w:w="3969"/>
            <w:vAlign w:val="center"/>
          </w:tcPr>
          <w:p>
            <w:pPr>
              <w:spacing w:after="0" w:line="269" w:lineRule="auto"/>
            </w:pPr>
            <w:r/>
            <w:r>
              <w:rPr>
                <w:rFonts w:ascii="Noto Sans CJK SC" w:hAnsi="Noto Sans CJK SC" w:eastAsia="Noto Sans CJK SC"/>
                <w:b w:val="0"/>
                <w:sz w:val="17"/>
              </w:rPr>
              <w:t>接入 CRM、ERP、订单管理平台、外贸服务商或律所系统。</w:t>
            </w:r>
          </w:p>
        </w:tc>
      </w:tr>
      <w:tr>
        <w:tc>
          <w:tcPr>
            <w:tcW w:type="dxa" w:w="1984"/>
            <w:shd w:fill="F2F6FA"/>
            <w:vAlign w:val="center"/>
          </w:tcPr>
          <w:p>
            <w:pPr>
              <w:spacing w:after="0" w:line="269" w:lineRule="auto"/>
            </w:pPr>
            <w:r/>
            <w:r>
              <w:rPr>
                <w:rFonts w:ascii="Noto Sans CJK SC" w:hAnsi="Noto Sans CJK SC" w:eastAsia="Noto Sans CJK SC"/>
                <w:b/>
                <w:sz w:val="17"/>
              </w:rPr>
              <w:t>客户风险接口</w:t>
            </w:r>
          </w:p>
        </w:tc>
        <w:tc>
          <w:tcPr>
            <w:tcW w:type="dxa" w:w="4252"/>
            <w:vAlign w:val="center"/>
          </w:tcPr>
          <w:p>
            <w:pPr>
              <w:spacing w:after="0" w:line="269" w:lineRule="auto"/>
            </w:pPr>
            <w:r/>
            <w:r>
              <w:rPr>
                <w:rFonts w:ascii="Noto Sans CJK SC" w:hAnsi="Noto Sans CJK SC" w:eastAsia="Noto Sans CJK SC"/>
                <w:b w:val="0"/>
                <w:sz w:val="17"/>
              </w:rPr>
              <w:t>不接真实数据，先做核验清单。</w:t>
            </w:r>
          </w:p>
        </w:tc>
        <w:tc>
          <w:tcPr>
            <w:tcW w:type="dxa" w:w="3969"/>
            <w:vAlign w:val="center"/>
          </w:tcPr>
          <w:p>
            <w:pPr>
              <w:spacing w:after="0" w:line="269" w:lineRule="auto"/>
            </w:pPr>
            <w:r/>
            <w:r>
              <w:rPr>
                <w:rFonts w:ascii="Noto Sans CJK SC" w:hAnsi="Noto Sans CJK SC" w:eastAsia="Noto Sans CJK SC"/>
                <w:b w:val="0"/>
                <w:sz w:val="17"/>
              </w:rPr>
              <w:t>接入企业信息、名单筛查、内部黑名单和外部数据源。</w:t>
            </w:r>
          </w:p>
        </w:tc>
      </w:tr>
    </w:tbl>
    <w:p>
      <w:pPr>
        <w:spacing w:after="40"/>
      </w:pPr>
    </w:p>
    <w:p>
      <w:pPr>
        <w:pStyle w:val="Heading1"/>
        <w:spacing w:before="200" w:after="80"/>
      </w:pPr>
      <w:r>
        <w:rPr>
          <w:rFonts w:ascii="Noto Sans CJK SC" w:hAnsi="Noto Sans CJK SC" w:eastAsia="Noto Sans CJK SC"/>
          <w:b/>
          <w:color w:val="1F4E79"/>
          <w:sz w:val="30"/>
        </w:rPr>
        <w:t>八、风险边界与合规设计：四道防线</w:t>
      </w:r>
    </w:p>
    <w:p>
      <w:pPr>
        <w:spacing w:after="100" w:line="283" w:lineRule="auto"/>
        <w:ind w:firstLine="420"/>
      </w:pPr>
      <w:r>
        <w:rPr>
          <w:rFonts w:ascii="Noto Sans CJK SC" w:hAnsi="Noto Sans CJK SC" w:eastAsia="Noto Sans CJK SC"/>
          <w:sz w:val="21"/>
        </w:rPr>
        <w:t>法律 AI 产品的合规设计需要比技术表述更严谨。TradeLaw AI 的输出定位为风险提示、材料整理和辅助决策，不构成正式法律意见；重大合同修改、争议解决策略、适用法律选择、目的国强监管事项和复杂争议处理仍需由企业法务、外部律师或负责人确认。</w:t>
      </w:r>
    </w:p>
    <w:p>
      <w:pPr>
        <w:pStyle w:val="Heading2"/>
        <w:spacing w:before="120" w:after="80"/>
      </w:pPr>
      <w:r>
        <w:rPr>
          <w:rFonts w:ascii="Noto Sans CJK SC" w:hAnsi="Noto Sans CJK SC" w:eastAsia="Noto Sans CJK SC"/>
          <w:b/>
          <w:color w:val="1F4E79"/>
          <w:sz w:val="25"/>
        </w:rPr>
        <w:t>（一）第一道防线：法律服务边界</w:t>
      </w:r>
    </w:p>
    <w:p>
      <w:pPr>
        <w:spacing w:after="100" w:line="283" w:lineRule="auto"/>
        <w:ind w:firstLine="420"/>
      </w:pPr>
      <w:r>
        <w:rPr>
          <w:rFonts w:ascii="Noto Sans CJK SC" w:hAnsi="Noto Sans CJK SC" w:eastAsia="Noto Sans CJK SC"/>
          <w:sz w:val="21"/>
        </w:rPr>
        <w:t>系统输出应明确写明“仅供业务风险识别和内部决策参考，不构成正式法律意见”。红色风险、重大订单、首次合作客户、争议解决条款、适用法律条款、DDP 或目的国强监管事项必须进入人工复核。这个边界应同时出现在产品页面、风险报告首页和导出报告首页。</w:t>
      </w:r>
    </w:p>
    <w:p>
      <w:pPr>
        <w:spacing w:after="100" w:line="283" w:lineRule="auto"/>
        <w:ind w:firstLine="420"/>
      </w:pPr>
      <w:r>
        <w:rPr>
          <w:rFonts w:ascii="Noto Sans CJK SC" w:hAnsi="Noto Sans CJK SC" w:eastAsia="Noto Sans CJK SC"/>
          <w:sz w:val="21"/>
        </w:rPr>
        <w:t>《民法典》合同编规定，当事人订立合同可以采用书面形式、口头形式或者其他形式；电子数据交换、电子邮件等能够有形表现内容并可随时调取查用的数据电文，可视为书面形式；合同内容通常包括标的、数量、质量、价款、履行期限、违约责任和解决争议的方法等。〔1〕最高人民法院合同编通则司法解释也强调，解释合同条款时应结合词句通常含义、合同性质和目的、交易习惯、诚信原则、缔约背景、磋商过程和履行行为等因素。〔2〕因此，系统审查必须保留原文、上下文和复核入口，而不能只给出孤立结论。</w:t>
      </w:r>
    </w:p>
    <w:p>
      <w:pPr>
        <w:pStyle w:val="Heading2"/>
        <w:spacing w:before="120" w:after="80"/>
      </w:pPr>
      <w:r>
        <w:rPr>
          <w:rFonts w:ascii="Noto Sans CJK SC" w:hAnsi="Noto Sans CJK SC" w:eastAsia="Noto Sans CJK SC"/>
          <w:b/>
          <w:color w:val="1F4E79"/>
          <w:sz w:val="25"/>
        </w:rPr>
        <w:t>（二）第二道防线：合同与证据合规</w:t>
      </w:r>
    </w:p>
    <w:p>
      <w:pPr>
        <w:spacing w:after="100" w:line="283" w:lineRule="auto"/>
        <w:ind w:firstLine="420"/>
      </w:pPr>
      <w:r>
        <w:rPr>
          <w:rFonts w:ascii="Noto Sans CJK SC" w:hAnsi="Noto Sans CJK SC" w:eastAsia="Noto Sans CJK SC"/>
          <w:sz w:val="21"/>
        </w:rPr>
        <w:t>系统可以帮助企业整理电子邮件、聊天记录、合同和单据，但不能承诺“自动形成有效证据”或“保证胜诉”。电子化材料和电子数据仍需在具体案件中经过举证、质证并由裁判机构依法认定真实性、合法性和关联性。</w:t>
      </w:r>
    </w:p>
    <w:p>
      <w:pPr>
        <w:spacing w:after="100" w:line="283" w:lineRule="auto"/>
        <w:ind w:firstLine="420"/>
      </w:pPr>
      <w:r>
        <w:rPr>
          <w:rFonts w:ascii="Noto Sans CJK SC" w:hAnsi="Noto Sans CJK SC" w:eastAsia="Noto Sans CJK SC"/>
          <w:sz w:val="21"/>
        </w:rPr>
        <w:t>人民法院在线诉讼规则对于区块链存证等电子数据，也要求结合上链前数据来源、生成机制、存储过程、公证或第三方见证、关联印证数据等因素综合判断真实性。〔4〕最高人民法院关于民事诉讼证据的规定亦要求结合电子数据生成、存储、传输环境，保存、传输、提取方法以及是否在正常往来活动中形成等因素审查电子数据真实性。〔5〕因此，产品应使用“证据链辅助整理”“证据缺口提示”“证据包摘要”这类表述，不应写成“证据效力保证”。</w:t>
      </w:r>
    </w:p>
    <w:p>
      <w:pPr>
        <w:pStyle w:val="Heading2"/>
        <w:spacing w:before="120" w:after="80"/>
      </w:pPr>
      <w:r>
        <w:rPr>
          <w:rFonts w:ascii="Noto Sans CJK SC" w:hAnsi="Noto Sans CJK SC" w:eastAsia="Noto Sans CJK SC"/>
          <w:b/>
          <w:color w:val="1F4E79"/>
          <w:sz w:val="25"/>
        </w:rPr>
        <w:t>（三）第三道防线：个人信息与数据安全</w:t>
      </w:r>
    </w:p>
    <w:p>
      <w:pPr>
        <w:spacing w:after="100" w:line="283" w:lineRule="auto"/>
        <w:ind w:firstLine="420"/>
      </w:pPr>
      <w:r>
        <w:rPr>
          <w:rFonts w:ascii="Noto Sans CJK SC" w:hAnsi="Noto Sans CJK SC" w:eastAsia="Noto Sans CJK SC"/>
          <w:sz w:val="21"/>
        </w:rPr>
        <w:t>如果系统导入邮件、微信、WhatsApp、企业微信、飞书聊天记录，就可能涉及员工、客户联系人、收货人、货代联系人等个人信息。产品应遵循合法、正当、必要、诚信和最小范围原则；导入前提示授权，默认不上传无关聊天内容，支持脱敏、权限控制和删除机制。</w:t>
      </w:r>
    </w:p>
    <w:p>
      <w:pPr>
        <w:spacing w:after="100" w:line="283" w:lineRule="auto"/>
        <w:ind w:firstLine="420"/>
      </w:pPr>
      <w:r>
        <w:rPr>
          <w:rFonts w:ascii="Noto Sans CJK SC" w:hAnsi="Noto Sans CJK SC" w:eastAsia="Noto Sans CJK SC"/>
          <w:sz w:val="21"/>
        </w:rPr>
        <w:t>《个人信息保护法》要求个人信息处理者采取分类管理、加密、去标识化、合理确定操作权限、开展安全教育培训、制定个人信息安全事件应急预案等措施。〔6〕MVP 阶段为了降低合规压力，可以采用模拟材料或脱敏材料，不接真实聊天平台数据。</w:t>
      </w:r>
    </w:p>
    <w:p>
      <w:pPr>
        <w:pStyle w:val="Heading2"/>
        <w:spacing w:before="120" w:after="80"/>
      </w:pPr>
      <w:r>
        <w:rPr>
          <w:rFonts w:ascii="Noto Sans CJK SC" w:hAnsi="Noto Sans CJK SC" w:eastAsia="Noto Sans CJK SC"/>
          <w:b/>
          <w:color w:val="1F4E79"/>
          <w:sz w:val="25"/>
        </w:rPr>
        <w:t>（四）第四道防线：系统安全与跨境数据边界</w:t>
      </w:r>
    </w:p>
    <w:p>
      <w:pPr>
        <w:spacing w:after="100" w:line="283" w:lineRule="auto"/>
        <w:ind w:firstLine="420"/>
      </w:pPr>
      <w:r>
        <w:rPr>
          <w:rFonts w:ascii="Noto Sans CJK SC" w:hAnsi="Noto Sans CJK SC" w:eastAsia="Noto Sans CJK SC"/>
          <w:sz w:val="21"/>
        </w:rPr>
        <w:t>作为 Web 平台，TradeLaw AI 应设置权限分级、操作日志、版本留痕、数据加密、删除机制和敏感材料脱敏。网络安全法要求网络运营者采取监测、记录网络运行状态和网络安全事件的技术措施，并按照规定留存相关网络日志；同时采取数据分类、重要数据备份和加密等措施。〔7〕数据安全法要求开展数据处理活动应建立健全全流程数据安全管理制度，并加强风险监测和应急处置。〔8〕</w:t>
      </w:r>
    </w:p>
    <w:p>
      <w:pPr>
        <w:spacing w:after="100" w:line="283" w:lineRule="auto"/>
        <w:ind w:firstLine="420"/>
      </w:pPr>
      <w:r>
        <w:rPr>
          <w:rFonts w:ascii="Noto Sans CJK SC" w:hAnsi="Noto Sans CJK SC" w:eastAsia="Noto Sans CJK SC"/>
          <w:sz w:val="21"/>
        </w:rPr>
        <w:t>如果未来涉及向境外模型、境外服务器或境外合作方提供个人信息，还需要评估个人信息出境条件、单独同意、合同安排和安全评估要求。东南亚方向可将 ASEAN Model Contractual Clauses for Cross Border Data Flows 作为未来跨境数据流动合同条款参考，但 MVP 阶段建议优先采用本地化存储、脱敏上传和模拟数据演示。〔10〕</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71"/>
            <w:shd w:fill="D9EAF7"/>
            <w:vAlign w:val="center"/>
          </w:tcPr>
          <w:p>
            <w:pPr>
              <w:spacing w:after="0" w:line="269" w:lineRule="auto"/>
              <w:jc w:val="center"/>
            </w:pPr>
            <w:r/>
            <w:r>
              <w:rPr>
                <w:rFonts w:ascii="Noto Sans CJK SC" w:hAnsi="Noto Sans CJK SC" w:eastAsia="Noto Sans CJK SC"/>
                <w:b/>
                <w:color w:val="1F4E79"/>
                <w:sz w:val="16"/>
              </w:rPr>
              <w:t>防线</w:t>
            </w:r>
          </w:p>
        </w:tc>
        <w:tc>
          <w:tcPr>
            <w:tcW w:type="dxa" w:w="4932"/>
            <w:shd w:fill="D9EAF7"/>
            <w:vAlign w:val="center"/>
          </w:tcPr>
          <w:p>
            <w:pPr>
              <w:spacing w:after="0" w:line="269" w:lineRule="auto"/>
              <w:jc w:val="center"/>
            </w:pPr>
            <w:r/>
            <w:r>
              <w:rPr>
                <w:rFonts w:ascii="Noto Sans CJK SC" w:hAnsi="Noto Sans CJK SC" w:eastAsia="Noto Sans CJK SC"/>
                <w:b/>
                <w:color w:val="1F4E79"/>
                <w:sz w:val="16"/>
              </w:rPr>
              <w:t>产品动作</w:t>
            </w:r>
          </w:p>
        </w:tc>
        <w:tc>
          <w:tcPr>
            <w:tcW w:type="dxa" w:w="3402"/>
            <w:shd w:fill="D9EAF7"/>
            <w:vAlign w:val="center"/>
          </w:tcPr>
          <w:p>
            <w:pPr>
              <w:spacing w:after="0" w:line="269" w:lineRule="auto"/>
              <w:jc w:val="center"/>
            </w:pPr>
            <w:r/>
            <w:r>
              <w:rPr>
                <w:rFonts w:ascii="Noto Sans CJK SC" w:hAnsi="Noto Sans CJK SC" w:eastAsia="Noto Sans CJK SC"/>
                <w:b/>
                <w:color w:val="1F4E79"/>
                <w:sz w:val="16"/>
              </w:rPr>
              <w:t>避免的表述</w:t>
            </w:r>
          </w:p>
        </w:tc>
      </w:tr>
      <w:tr>
        <w:tc>
          <w:tcPr>
            <w:tcW w:type="dxa" w:w="1871"/>
            <w:shd w:fill="F2F6FA"/>
            <w:vAlign w:val="center"/>
          </w:tcPr>
          <w:p>
            <w:pPr>
              <w:spacing w:after="0" w:line="269" w:lineRule="auto"/>
            </w:pPr>
            <w:r/>
            <w:r>
              <w:rPr>
                <w:rFonts w:ascii="Noto Sans CJK SC" w:hAnsi="Noto Sans CJK SC" w:eastAsia="Noto Sans CJK SC"/>
                <w:b/>
                <w:sz w:val="16"/>
              </w:rPr>
              <w:t>法律服务边界</w:t>
            </w:r>
          </w:p>
        </w:tc>
        <w:tc>
          <w:tcPr>
            <w:tcW w:type="dxa" w:w="4932"/>
            <w:vAlign w:val="center"/>
          </w:tcPr>
          <w:p>
            <w:pPr>
              <w:spacing w:after="0" w:line="269" w:lineRule="auto"/>
            </w:pPr>
            <w:r/>
            <w:r>
              <w:rPr>
                <w:rFonts w:ascii="Noto Sans CJK SC" w:hAnsi="Noto Sans CJK SC" w:eastAsia="Noto Sans CJK SC"/>
                <w:b w:val="0"/>
                <w:sz w:val="16"/>
              </w:rPr>
              <w:t>页面和报告声明“风险提示/辅助决策”；红色风险人工复核。</w:t>
            </w:r>
          </w:p>
        </w:tc>
        <w:tc>
          <w:tcPr>
            <w:tcW w:type="dxa" w:w="3402"/>
            <w:vAlign w:val="center"/>
          </w:tcPr>
          <w:p>
            <w:pPr>
              <w:spacing w:after="0" w:line="269" w:lineRule="auto"/>
            </w:pPr>
            <w:r/>
            <w:r>
              <w:rPr>
                <w:rFonts w:ascii="Noto Sans CJK SC" w:hAnsi="Noto Sans CJK SC" w:eastAsia="Noto Sans CJK SC"/>
                <w:b w:val="0"/>
                <w:sz w:val="16"/>
              </w:rPr>
              <w:t>避免“自动出具法律意见”“替代律师审查”。</w:t>
            </w:r>
          </w:p>
        </w:tc>
      </w:tr>
      <w:tr>
        <w:tc>
          <w:tcPr>
            <w:tcW w:type="dxa" w:w="1871"/>
            <w:shd w:fill="F2F6FA"/>
            <w:vAlign w:val="center"/>
          </w:tcPr>
          <w:p>
            <w:pPr>
              <w:spacing w:after="0" w:line="269" w:lineRule="auto"/>
            </w:pPr>
            <w:r/>
            <w:r>
              <w:rPr>
                <w:rFonts w:ascii="Noto Sans CJK SC" w:hAnsi="Noto Sans CJK SC" w:eastAsia="Noto Sans CJK SC"/>
                <w:b/>
                <w:sz w:val="16"/>
              </w:rPr>
              <w:t>合同与证据合规</w:t>
            </w:r>
          </w:p>
        </w:tc>
        <w:tc>
          <w:tcPr>
            <w:tcW w:type="dxa" w:w="4932"/>
            <w:vAlign w:val="center"/>
          </w:tcPr>
          <w:p>
            <w:pPr>
              <w:spacing w:after="0" w:line="269" w:lineRule="auto"/>
            </w:pPr>
            <w:r/>
            <w:r>
              <w:rPr>
                <w:rFonts w:ascii="Noto Sans CJK SC" w:hAnsi="Noto Sans CJK SC" w:eastAsia="Noto Sans CJK SC"/>
                <w:b w:val="0"/>
                <w:sz w:val="16"/>
              </w:rPr>
              <w:t>保留原文条款、材料来源、时间线和缺失证据提示。</w:t>
            </w:r>
          </w:p>
        </w:tc>
        <w:tc>
          <w:tcPr>
            <w:tcW w:type="dxa" w:w="3402"/>
            <w:vAlign w:val="center"/>
          </w:tcPr>
          <w:p>
            <w:pPr>
              <w:spacing w:after="0" w:line="269" w:lineRule="auto"/>
            </w:pPr>
            <w:r/>
            <w:r>
              <w:rPr>
                <w:rFonts w:ascii="Noto Sans CJK SC" w:hAnsi="Noto Sans CJK SC" w:eastAsia="Noto Sans CJK SC"/>
                <w:b w:val="0"/>
                <w:sz w:val="16"/>
              </w:rPr>
              <w:t>避免“保证证据有效”“保证胜诉”。</w:t>
            </w:r>
          </w:p>
        </w:tc>
      </w:tr>
      <w:tr>
        <w:tc>
          <w:tcPr>
            <w:tcW w:type="dxa" w:w="1871"/>
            <w:shd w:fill="F2F6FA"/>
            <w:vAlign w:val="center"/>
          </w:tcPr>
          <w:p>
            <w:pPr>
              <w:spacing w:after="0" w:line="269" w:lineRule="auto"/>
            </w:pPr>
            <w:r/>
            <w:r>
              <w:rPr>
                <w:rFonts w:ascii="Noto Sans CJK SC" w:hAnsi="Noto Sans CJK SC" w:eastAsia="Noto Sans CJK SC"/>
                <w:b/>
                <w:sz w:val="16"/>
              </w:rPr>
              <w:t>个人信息保护</w:t>
            </w:r>
          </w:p>
        </w:tc>
        <w:tc>
          <w:tcPr>
            <w:tcW w:type="dxa" w:w="4932"/>
            <w:vAlign w:val="center"/>
          </w:tcPr>
          <w:p>
            <w:pPr>
              <w:spacing w:after="0" w:line="269" w:lineRule="auto"/>
            </w:pPr>
            <w:r/>
            <w:r>
              <w:rPr>
                <w:rFonts w:ascii="Noto Sans CJK SC" w:hAnsi="Noto Sans CJK SC" w:eastAsia="Noto Sans CJK SC"/>
                <w:b w:val="0"/>
                <w:sz w:val="16"/>
              </w:rPr>
              <w:t>授权提示、脱敏、最小范围导入、权限控制、删除机制。</w:t>
            </w:r>
          </w:p>
        </w:tc>
        <w:tc>
          <w:tcPr>
            <w:tcW w:type="dxa" w:w="3402"/>
            <w:vAlign w:val="center"/>
          </w:tcPr>
          <w:p>
            <w:pPr>
              <w:spacing w:after="0" w:line="269" w:lineRule="auto"/>
            </w:pPr>
            <w:r/>
            <w:r>
              <w:rPr>
                <w:rFonts w:ascii="Noto Sans CJK SC" w:hAnsi="Noto Sans CJK SC" w:eastAsia="Noto Sans CJK SC"/>
                <w:b w:val="0"/>
                <w:sz w:val="16"/>
              </w:rPr>
              <w:t>避免默认抓取全部聊天记录或无授权处理个人信息。</w:t>
            </w:r>
          </w:p>
        </w:tc>
      </w:tr>
      <w:tr>
        <w:tc>
          <w:tcPr>
            <w:tcW w:type="dxa" w:w="1871"/>
            <w:shd w:fill="F2F6FA"/>
            <w:vAlign w:val="center"/>
          </w:tcPr>
          <w:p>
            <w:pPr>
              <w:spacing w:after="0" w:line="269" w:lineRule="auto"/>
            </w:pPr>
            <w:r/>
            <w:r>
              <w:rPr>
                <w:rFonts w:ascii="Noto Sans CJK SC" w:hAnsi="Noto Sans CJK SC" w:eastAsia="Noto Sans CJK SC"/>
                <w:b/>
                <w:sz w:val="16"/>
              </w:rPr>
              <w:t>系统与跨境数据安全</w:t>
            </w:r>
          </w:p>
        </w:tc>
        <w:tc>
          <w:tcPr>
            <w:tcW w:type="dxa" w:w="4932"/>
            <w:vAlign w:val="center"/>
          </w:tcPr>
          <w:p>
            <w:pPr>
              <w:spacing w:after="0" w:line="269" w:lineRule="auto"/>
            </w:pPr>
            <w:r/>
            <w:r>
              <w:rPr>
                <w:rFonts w:ascii="Noto Sans CJK SC" w:hAnsi="Noto Sans CJK SC" w:eastAsia="Noto Sans CJK SC"/>
                <w:b w:val="0"/>
                <w:sz w:val="16"/>
              </w:rPr>
              <w:t>日志留痕、数据加密、版本管理、出境风险提示。</w:t>
            </w:r>
          </w:p>
        </w:tc>
        <w:tc>
          <w:tcPr>
            <w:tcW w:type="dxa" w:w="3402"/>
            <w:vAlign w:val="center"/>
          </w:tcPr>
          <w:p>
            <w:pPr>
              <w:spacing w:after="0" w:line="269" w:lineRule="auto"/>
            </w:pPr>
            <w:r/>
            <w:r>
              <w:rPr>
                <w:rFonts w:ascii="Noto Sans CJK SC" w:hAnsi="Noto Sans CJK SC" w:eastAsia="Noto Sans CJK SC"/>
                <w:b w:val="0"/>
                <w:sz w:val="16"/>
              </w:rPr>
              <w:t>避免将敏感合同和客户信息无提示传至境外服务。</w:t>
            </w:r>
          </w:p>
        </w:tc>
      </w:tr>
    </w:tbl>
    <w:p>
      <w:pPr>
        <w:spacing w:after="40"/>
      </w:pPr>
    </w:p>
    <w:p>
      <w:pPr>
        <w:pStyle w:val="Heading1"/>
        <w:spacing w:before="200" w:after="80"/>
      </w:pPr>
      <w:r>
        <w:rPr>
          <w:rFonts w:ascii="Noto Sans CJK SC" w:hAnsi="Noto Sans CJK SC" w:eastAsia="Noto Sans CJK SC"/>
          <w:b/>
          <w:color w:val="1F4E79"/>
          <w:sz w:val="30"/>
        </w:rPr>
        <w:t>九、预期价值</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61"/>
        <w:gridCol w:w="4961"/>
      </w:tblGrid>
      <w:tr>
        <w:tc>
          <w:tcPr>
            <w:tcW w:type="dxa" w:w="1984"/>
            <w:shd w:fill="D9EAF7"/>
            <w:vAlign w:val="center"/>
          </w:tcPr>
          <w:p>
            <w:pPr>
              <w:spacing w:after="0" w:line="269" w:lineRule="auto"/>
              <w:jc w:val="center"/>
            </w:pPr>
            <w:r/>
            <w:r>
              <w:rPr>
                <w:rFonts w:ascii="Noto Sans CJK SC" w:hAnsi="Noto Sans CJK SC" w:eastAsia="Noto Sans CJK SC"/>
                <w:b/>
                <w:color w:val="1F4E79"/>
                <w:sz w:val="17"/>
              </w:rPr>
              <w:t>价值对象</w:t>
            </w:r>
          </w:p>
        </w:tc>
        <w:tc>
          <w:tcPr>
            <w:tcW w:type="dxa" w:w="7937"/>
            <w:shd w:fill="D9EAF7"/>
            <w:vAlign w:val="center"/>
          </w:tcPr>
          <w:p>
            <w:pPr>
              <w:spacing w:after="0" w:line="269" w:lineRule="auto"/>
              <w:jc w:val="center"/>
            </w:pPr>
            <w:r/>
            <w:r>
              <w:rPr>
                <w:rFonts w:ascii="Noto Sans CJK SC" w:hAnsi="Noto Sans CJK SC" w:eastAsia="Noto Sans CJK SC"/>
                <w:b/>
                <w:color w:val="1F4E79"/>
                <w:sz w:val="17"/>
              </w:rPr>
              <w:t>预期价值</w:t>
            </w:r>
          </w:p>
        </w:tc>
      </w:tr>
      <w:tr>
        <w:tc>
          <w:tcPr>
            <w:tcW w:type="dxa" w:w="1984"/>
            <w:shd w:fill="F2F6FA"/>
            <w:vAlign w:val="center"/>
          </w:tcPr>
          <w:p>
            <w:pPr>
              <w:spacing w:after="0" w:line="269" w:lineRule="auto"/>
            </w:pPr>
            <w:r/>
            <w:r>
              <w:rPr>
                <w:rFonts w:ascii="Noto Sans CJK SC" w:hAnsi="Noto Sans CJK SC" w:eastAsia="Noto Sans CJK SC"/>
                <w:b/>
                <w:sz w:val="17"/>
              </w:rPr>
              <w:t>业务员</w:t>
            </w:r>
          </w:p>
        </w:tc>
        <w:tc>
          <w:tcPr>
            <w:tcW w:type="dxa" w:w="7937"/>
            <w:vAlign w:val="center"/>
          </w:tcPr>
          <w:p>
            <w:pPr>
              <w:spacing w:after="0" w:line="269" w:lineRule="auto"/>
            </w:pPr>
            <w:r/>
            <w:r>
              <w:rPr>
                <w:rFonts w:ascii="Noto Sans CJK SC" w:hAnsi="Noto Sans CJK SC" w:eastAsia="Noto Sans CJK SC"/>
                <w:b w:val="0"/>
                <w:sz w:val="17"/>
              </w:rPr>
              <w:t>降低英文合同和 PO 条款理解门槛；在签约前获得风险解释、修改建议和客户沟通话术。</w:t>
            </w:r>
          </w:p>
        </w:tc>
      </w:tr>
      <w:tr>
        <w:tc>
          <w:tcPr>
            <w:tcW w:type="dxa" w:w="1984"/>
            <w:shd w:fill="F2F6FA"/>
            <w:vAlign w:val="center"/>
          </w:tcPr>
          <w:p>
            <w:pPr>
              <w:spacing w:after="0" w:line="269" w:lineRule="auto"/>
            </w:pPr>
            <w:r/>
            <w:r>
              <w:rPr>
                <w:rFonts w:ascii="Noto Sans CJK SC" w:hAnsi="Noto Sans CJK SC" w:eastAsia="Noto Sans CJK SC"/>
                <w:b/>
                <w:sz w:val="17"/>
              </w:rPr>
              <w:t>跟单/运营</w:t>
            </w:r>
          </w:p>
        </w:tc>
        <w:tc>
          <w:tcPr>
            <w:tcW w:type="dxa" w:w="7937"/>
            <w:vAlign w:val="center"/>
          </w:tcPr>
          <w:p>
            <w:pPr>
              <w:spacing w:after="0" w:line="269" w:lineRule="auto"/>
            </w:pPr>
            <w:r/>
            <w:r>
              <w:rPr>
                <w:rFonts w:ascii="Noto Sans CJK SC" w:hAnsi="Noto Sans CJK SC" w:eastAsia="Noto Sans CJK SC"/>
                <w:b w:val="0"/>
                <w:sz w:val="17"/>
              </w:rPr>
              <w:t>按订单节点保存材料，减少纠纷后临时找邮件、找聊天记录、找单据的成本。</w:t>
            </w:r>
          </w:p>
        </w:tc>
      </w:tr>
      <w:tr>
        <w:tc>
          <w:tcPr>
            <w:tcW w:type="dxa" w:w="1984"/>
            <w:shd w:fill="F2F6FA"/>
            <w:vAlign w:val="center"/>
          </w:tcPr>
          <w:p>
            <w:pPr>
              <w:spacing w:after="0" w:line="269" w:lineRule="auto"/>
            </w:pPr>
            <w:r/>
            <w:r>
              <w:rPr>
                <w:rFonts w:ascii="Noto Sans CJK SC" w:hAnsi="Noto Sans CJK SC" w:eastAsia="Noto Sans CJK SC"/>
                <w:b/>
                <w:sz w:val="17"/>
              </w:rPr>
              <w:t>法务/外部律师</w:t>
            </w:r>
          </w:p>
        </w:tc>
        <w:tc>
          <w:tcPr>
            <w:tcW w:type="dxa" w:w="7937"/>
            <w:vAlign w:val="center"/>
          </w:tcPr>
          <w:p>
            <w:pPr>
              <w:spacing w:after="0" w:line="269" w:lineRule="auto"/>
            </w:pPr>
            <w:r/>
            <w:r>
              <w:rPr>
                <w:rFonts w:ascii="Noto Sans CJK SC" w:hAnsi="Noto Sans CJK SC" w:eastAsia="Noto Sans CJK SC"/>
                <w:b w:val="0"/>
                <w:sz w:val="17"/>
              </w:rPr>
              <w:t>减少重复性初筛和材料整理，把时间集中在高风险条款、重大订单和复杂争议上。</w:t>
            </w:r>
          </w:p>
        </w:tc>
      </w:tr>
      <w:tr>
        <w:tc>
          <w:tcPr>
            <w:tcW w:type="dxa" w:w="1984"/>
            <w:shd w:fill="F2F6FA"/>
            <w:vAlign w:val="center"/>
          </w:tcPr>
          <w:p>
            <w:pPr>
              <w:spacing w:after="0" w:line="269" w:lineRule="auto"/>
            </w:pPr>
            <w:r/>
            <w:r>
              <w:rPr>
                <w:rFonts w:ascii="Noto Sans CJK SC" w:hAnsi="Noto Sans CJK SC" w:eastAsia="Noto Sans CJK SC"/>
                <w:b/>
                <w:sz w:val="17"/>
              </w:rPr>
              <w:t>企业负责人</w:t>
            </w:r>
          </w:p>
        </w:tc>
        <w:tc>
          <w:tcPr>
            <w:tcW w:type="dxa" w:w="7937"/>
            <w:vAlign w:val="center"/>
          </w:tcPr>
          <w:p>
            <w:pPr>
              <w:spacing w:after="0" w:line="269" w:lineRule="auto"/>
            </w:pPr>
            <w:r/>
            <w:r>
              <w:rPr>
                <w:rFonts w:ascii="Noto Sans CJK SC" w:hAnsi="Noto Sans CJK SC" w:eastAsia="Noto Sans CJK SC"/>
                <w:b w:val="0"/>
                <w:sz w:val="17"/>
              </w:rPr>
              <w:t>在签约前看清订单的回款风险、交付风险和争议风险，做出更稳妥的交易决策。</w:t>
            </w:r>
          </w:p>
        </w:tc>
      </w:tr>
      <w:tr>
        <w:tc>
          <w:tcPr>
            <w:tcW w:type="dxa" w:w="1984"/>
            <w:shd w:fill="F2F6FA"/>
            <w:vAlign w:val="center"/>
          </w:tcPr>
          <w:p>
            <w:pPr>
              <w:spacing w:after="0" w:line="269" w:lineRule="auto"/>
            </w:pPr>
            <w:r/>
            <w:r>
              <w:rPr>
                <w:rFonts w:ascii="Noto Sans CJK SC" w:hAnsi="Noto Sans CJK SC" w:eastAsia="Noto Sans CJK SC"/>
                <w:b/>
                <w:sz w:val="17"/>
              </w:rPr>
              <w:t>企业组织</w:t>
            </w:r>
          </w:p>
        </w:tc>
        <w:tc>
          <w:tcPr>
            <w:tcW w:type="dxa" w:w="7937"/>
            <w:vAlign w:val="center"/>
          </w:tcPr>
          <w:p>
            <w:pPr>
              <w:spacing w:after="0" w:line="269" w:lineRule="auto"/>
            </w:pPr>
            <w:r/>
            <w:r>
              <w:rPr>
                <w:rFonts w:ascii="Noto Sans CJK SC" w:hAnsi="Noto Sans CJK SC" w:eastAsia="Noto Sans CJK SC"/>
                <w:b w:val="0"/>
                <w:sz w:val="17"/>
              </w:rPr>
              <w:t>形成风险台账、规则库、常用条款模板和复核记录，把个人经验沉淀为组织能力。</w:t>
            </w:r>
          </w:p>
        </w:tc>
      </w:tr>
    </w:tbl>
    <w:p>
      <w:pPr>
        <w:spacing w:after="40"/>
      </w:pPr>
    </w:p>
    <w:p>
      <w:pPr>
        <w:pStyle w:val="Heading2"/>
        <w:spacing w:before="120" w:after="80"/>
      </w:pPr>
      <w:r>
        <w:rPr>
          <w:rFonts w:ascii="Noto Sans CJK SC" w:hAnsi="Noto Sans CJK SC" w:eastAsia="Noto Sans CJK SC"/>
          <w:b/>
          <w:color w:val="1F4E79"/>
          <w:sz w:val="25"/>
        </w:rPr>
        <w:t>（一）效率提升</w:t>
      </w:r>
    </w:p>
    <w:p>
      <w:pPr>
        <w:spacing w:after="100" w:line="283" w:lineRule="auto"/>
        <w:ind w:firstLine="420"/>
      </w:pPr>
      <w:r>
        <w:rPr>
          <w:rFonts w:ascii="Noto Sans CJK SC" w:hAnsi="Noto Sans CJK SC" w:eastAsia="Noto Sans CJK SC"/>
          <w:sz w:val="21"/>
        </w:rPr>
        <w:t>合同初筛、条款定位、风险摘要和材料整理均属于高重复、高耗时工作。AI 可以先完成材料抽取和结构化分析，人工复核只需集中处理高风险事项。</w:t>
      </w:r>
    </w:p>
    <w:p>
      <w:pPr>
        <w:pStyle w:val="Heading2"/>
        <w:spacing w:before="120" w:after="80"/>
      </w:pPr>
      <w:r>
        <w:rPr>
          <w:rFonts w:ascii="Noto Sans CJK SC" w:hAnsi="Noto Sans CJK SC" w:eastAsia="Noto Sans CJK SC"/>
          <w:b/>
          <w:color w:val="1F4E79"/>
          <w:sz w:val="25"/>
        </w:rPr>
        <w:t>（二）成本节约</w:t>
      </w:r>
    </w:p>
    <w:p>
      <w:pPr>
        <w:spacing w:after="100" w:line="283" w:lineRule="auto"/>
        <w:ind w:firstLine="420"/>
      </w:pPr>
      <w:r>
        <w:rPr>
          <w:rFonts w:ascii="Noto Sans CJK SC" w:hAnsi="Noto Sans CJK SC" w:eastAsia="Noto Sans CJK SC"/>
          <w:sz w:val="21"/>
        </w:rPr>
        <w:t>中小外贸企业不一定能为每笔订单都进行完整律师审查。TradeLaw AI 可以承担常规初筛和材料整理，把外部律师服务集中用于重大订单、复杂条款和争议处理。</w:t>
      </w:r>
    </w:p>
    <w:p>
      <w:pPr>
        <w:pStyle w:val="Heading2"/>
        <w:spacing w:before="120" w:after="80"/>
      </w:pPr>
      <w:r>
        <w:rPr>
          <w:rFonts w:ascii="Noto Sans CJK SC" w:hAnsi="Noto Sans CJK SC" w:eastAsia="Noto Sans CJK SC"/>
          <w:b/>
          <w:color w:val="1F4E79"/>
          <w:sz w:val="25"/>
        </w:rPr>
        <w:t>（三）风险前置</w:t>
      </w:r>
    </w:p>
    <w:p>
      <w:pPr>
        <w:spacing w:after="100" w:line="283" w:lineRule="auto"/>
        <w:ind w:firstLine="420"/>
      </w:pPr>
      <w:r>
        <w:rPr>
          <w:rFonts w:ascii="Noto Sans CJK SC" w:hAnsi="Noto Sans CJK SC" w:eastAsia="Noto Sans CJK SC"/>
          <w:sz w:val="21"/>
        </w:rPr>
        <w:t>产品把法律风险识别前移到签约前和履约中，减少企业在拒付、退货、质量争议发生后才开始补救的被动局面。</w:t>
      </w:r>
    </w:p>
    <w:p>
      <w:pPr>
        <w:pStyle w:val="Heading2"/>
        <w:spacing w:before="120" w:after="80"/>
      </w:pPr>
      <w:r>
        <w:rPr>
          <w:rFonts w:ascii="Noto Sans CJK SC" w:hAnsi="Noto Sans CJK SC" w:eastAsia="Noto Sans CJK SC"/>
          <w:b/>
          <w:color w:val="1F4E79"/>
          <w:sz w:val="25"/>
        </w:rPr>
        <w:t>（四）管理升级</w:t>
      </w:r>
    </w:p>
    <w:p>
      <w:pPr>
        <w:spacing w:after="100" w:line="283" w:lineRule="auto"/>
        <w:ind w:firstLine="420"/>
      </w:pPr>
      <w:r>
        <w:rPr>
          <w:rFonts w:ascii="Noto Sans CJK SC" w:hAnsi="Noto Sans CJK SC" w:eastAsia="Noto Sans CJK SC"/>
          <w:sz w:val="21"/>
        </w:rPr>
        <w:t>系统可以统计订单中常见风险，例如尾款风险、争议解决条款缺失、验货期限缺失、客户异常付款要求等，为企业制定标准合同、内部审批规则和业务培训材料提供依据。</w:t>
      </w:r>
    </w:p>
    <w:p>
      <w:pPr>
        <w:pStyle w:val="Heading1"/>
        <w:spacing w:before="200" w:after="80"/>
      </w:pPr>
      <w:r>
        <w:rPr>
          <w:rFonts w:ascii="Noto Sans CJK SC" w:hAnsi="Noto Sans CJK SC" w:eastAsia="Noto Sans CJK SC"/>
          <w:b/>
          <w:color w:val="1F4E79"/>
          <w:sz w:val="30"/>
        </w:rPr>
        <w:t>十、成本投入、开发计划与人员分工</w:t>
      </w:r>
    </w:p>
    <w:p>
      <w:pPr>
        <w:pStyle w:val="Heading2"/>
        <w:spacing w:before="120" w:after="80"/>
      </w:pPr>
      <w:r>
        <w:rPr>
          <w:rFonts w:ascii="Noto Sans CJK SC" w:hAnsi="Noto Sans CJK SC" w:eastAsia="Noto Sans CJK SC"/>
          <w:b/>
          <w:color w:val="1F4E79"/>
          <w:sz w:val="25"/>
        </w:rPr>
        <w:t>（一）比赛周期开发计划</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701"/>
            <w:shd w:fill="D9EAF7"/>
            <w:vAlign w:val="center"/>
          </w:tcPr>
          <w:p>
            <w:pPr>
              <w:spacing w:after="0" w:line="269" w:lineRule="auto"/>
              <w:jc w:val="center"/>
            </w:pPr>
            <w:r/>
            <w:r>
              <w:rPr>
                <w:rFonts w:ascii="Noto Sans CJK SC" w:hAnsi="Noto Sans CJK SC" w:eastAsia="Noto Sans CJK SC"/>
                <w:b/>
                <w:color w:val="1F4E79"/>
                <w:sz w:val="16"/>
              </w:rPr>
              <w:t>时间</w:t>
            </w:r>
          </w:p>
        </w:tc>
        <w:tc>
          <w:tcPr>
            <w:tcW w:type="dxa" w:w="4649"/>
            <w:shd w:fill="D9EAF7"/>
            <w:vAlign w:val="center"/>
          </w:tcPr>
          <w:p>
            <w:pPr>
              <w:spacing w:after="0" w:line="269" w:lineRule="auto"/>
              <w:jc w:val="center"/>
            </w:pPr>
            <w:r/>
            <w:r>
              <w:rPr>
                <w:rFonts w:ascii="Noto Sans CJK SC" w:hAnsi="Noto Sans CJK SC" w:eastAsia="Noto Sans CJK SC"/>
                <w:b/>
                <w:color w:val="1F4E79"/>
                <w:sz w:val="16"/>
              </w:rPr>
              <w:t>开发重点</w:t>
            </w:r>
          </w:p>
        </w:tc>
        <w:tc>
          <w:tcPr>
            <w:tcW w:type="dxa" w:w="4195"/>
            <w:shd w:fill="D9EAF7"/>
            <w:vAlign w:val="center"/>
          </w:tcPr>
          <w:p>
            <w:pPr>
              <w:spacing w:after="0" w:line="269" w:lineRule="auto"/>
              <w:jc w:val="center"/>
            </w:pPr>
            <w:r/>
            <w:r>
              <w:rPr>
                <w:rFonts w:ascii="Noto Sans CJK SC" w:hAnsi="Noto Sans CJK SC" w:eastAsia="Noto Sans CJK SC"/>
                <w:b/>
                <w:color w:val="1F4E79"/>
                <w:sz w:val="16"/>
              </w:rPr>
              <w:t>可展示成果</w:t>
            </w:r>
          </w:p>
        </w:tc>
      </w:tr>
      <w:tr>
        <w:tc>
          <w:tcPr>
            <w:tcW w:type="dxa" w:w="1701"/>
            <w:shd w:fill="F2F6FA"/>
            <w:vAlign w:val="center"/>
          </w:tcPr>
          <w:p>
            <w:pPr>
              <w:spacing w:after="0" w:line="269" w:lineRule="auto"/>
            </w:pPr>
            <w:r/>
            <w:r>
              <w:rPr>
                <w:rFonts w:ascii="Noto Sans CJK SC" w:hAnsi="Noto Sans CJK SC" w:eastAsia="Noto Sans CJK SC"/>
                <w:b/>
                <w:sz w:val="16"/>
              </w:rPr>
              <w:t>第 1 周</w:t>
            </w:r>
          </w:p>
        </w:tc>
        <w:tc>
          <w:tcPr>
            <w:tcW w:type="dxa" w:w="4649"/>
            <w:vAlign w:val="center"/>
          </w:tcPr>
          <w:p>
            <w:pPr>
              <w:spacing w:after="0" w:line="269" w:lineRule="auto"/>
            </w:pPr>
            <w:r/>
            <w:r>
              <w:rPr>
                <w:rFonts w:ascii="Noto Sans CJK SC" w:hAnsi="Noto Sans CJK SC" w:eastAsia="Noto Sans CJK SC"/>
                <w:b w:val="0"/>
                <w:sz w:val="16"/>
              </w:rPr>
              <w:t>场景收敛、东南亚案例设计、规则库种子整理、产品流程图。</w:t>
            </w:r>
          </w:p>
        </w:tc>
        <w:tc>
          <w:tcPr>
            <w:tcW w:type="dxa" w:w="4195"/>
            <w:vAlign w:val="center"/>
          </w:tcPr>
          <w:p>
            <w:pPr>
              <w:spacing w:after="0" w:line="269" w:lineRule="auto"/>
            </w:pPr>
            <w:r/>
            <w:r>
              <w:rPr>
                <w:rFonts w:ascii="Noto Sans CJK SC" w:hAnsi="Noto Sans CJK SC" w:eastAsia="Noto Sans CJK SC"/>
                <w:b w:val="0"/>
                <w:sz w:val="16"/>
              </w:rPr>
              <w:t>2-3 个模拟订单案例、20-30 条风险规则、订单空间流程图。</w:t>
            </w:r>
          </w:p>
        </w:tc>
      </w:tr>
      <w:tr>
        <w:tc>
          <w:tcPr>
            <w:tcW w:type="dxa" w:w="1701"/>
            <w:shd w:fill="F2F6FA"/>
            <w:vAlign w:val="center"/>
          </w:tcPr>
          <w:p>
            <w:pPr>
              <w:spacing w:after="0" w:line="269" w:lineRule="auto"/>
            </w:pPr>
            <w:r/>
            <w:r>
              <w:rPr>
                <w:rFonts w:ascii="Noto Sans CJK SC" w:hAnsi="Noto Sans CJK SC" w:eastAsia="Noto Sans CJK SC"/>
                <w:b/>
                <w:sz w:val="16"/>
              </w:rPr>
              <w:t>第 2 周</w:t>
            </w:r>
          </w:p>
        </w:tc>
        <w:tc>
          <w:tcPr>
            <w:tcW w:type="dxa" w:w="4649"/>
            <w:vAlign w:val="center"/>
          </w:tcPr>
          <w:p>
            <w:pPr>
              <w:spacing w:after="0" w:line="269" w:lineRule="auto"/>
            </w:pPr>
            <w:r/>
            <w:r>
              <w:rPr>
                <w:rFonts w:ascii="Noto Sans CJK SC" w:hAnsi="Noto Sans CJK SC" w:eastAsia="Noto Sans CJK SC"/>
                <w:b w:val="0"/>
                <w:sz w:val="16"/>
              </w:rPr>
              <w:t>Web 页面原型、订单建档、材料上传/文本导入、字段抽取。</w:t>
            </w:r>
          </w:p>
        </w:tc>
        <w:tc>
          <w:tcPr>
            <w:tcW w:type="dxa" w:w="4195"/>
            <w:vAlign w:val="center"/>
          </w:tcPr>
          <w:p>
            <w:pPr>
              <w:spacing w:after="0" w:line="269" w:lineRule="auto"/>
            </w:pPr>
            <w:r/>
            <w:r>
              <w:rPr>
                <w:rFonts w:ascii="Noto Sans CJK SC" w:hAnsi="Noto Sans CJK SC" w:eastAsia="Noto Sans CJK SC"/>
                <w:b w:val="0"/>
                <w:sz w:val="16"/>
              </w:rPr>
              <w:t>订单列表、订单空间、合同/PO/PI 上传页、订单信息卡片。</w:t>
            </w:r>
          </w:p>
        </w:tc>
      </w:tr>
      <w:tr>
        <w:tc>
          <w:tcPr>
            <w:tcW w:type="dxa" w:w="1701"/>
            <w:shd w:fill="F2F6FA"/>
            <w:vAlign w:val="center"/>
          </w:tcPr>
          <w:p>
            <w:pPr>
              <w:spacing w:after="0" w:line="269" w:lineRule="auto"/>
            </w:pPr>
            <w:r/>
            <w:r>
              <w:rPr>
                <w:rFonts w:ascii="Noto Sans CJK SC" w:hAnsi="Noto Sans CJK SC" w:eastAsia="Noto Sans CJK SC"/>
                <w:b/>
                <w:sz w:val="16"/>
              </w:rPr>
              <w:t>第 3 周</w:t>
            </w:r>
          </w:p>
        </w:tc>
        <w:tc>
          <w:tcPr>
            <w:tcW w:type="dxa" w:w="4649"/>
            <w:vAlign w:val="center"/>
          </w:tcPr>
          <w:p>
            <w:pPr>
              <w:spacing w:after="0" w:line="269" w:lineRule="auto"/>
            </w:pPr>
            <w:r/>
            <w:r>
              <w:rPr>
                <w:rFonts w:ascii="Noto Sans CJK SC" w:hAnsi="Noto Sans CJK SC" w:eastAsia="Noto Sans CJK SC"/>
                <w:b w:val="0"/>
                <w:sz w:val="16"/>
              </w:rPr>
              <w:t>合同风险审查、红黄绿报告、条款解释、修改建议。</w:t>
            </w:r>
          </w:p>
        </w:tc>
        <w:tc>
          <w:tcPr>
            <w:tcW w:type="dxa" w:w="4195"/>
            <w:vAlign w:val="center"/>
          </w:tcPr>
          <w:p>
            <w:pPr>
              <w:spacing w:after="0" w:line="269" w:lineRule="auto"/>
            </w:pPr>
            <w:r/>
            <w:r>
              <w:rPr>
                <w:rFonts w:ascii="Noto Sans CJK SC" w:hAnsi="Noto Sans CJK SC" w:eastAsia="Noto Sans CJK SC"/>
                <w:b w:val="0"/>
                <w:sz w:val="16"/>
              </w:rPr>
              <w:t>风险报告页、业务员版建议、负责人摘要、法务复核清单。</w:t>
            </w:r>
          </w:p>
        </w:tc>
      </w:tr>
      <w:tr>
        <w:tc>
          <w:tcPr>
            <w:tcW w:type="dxa" w:w="1701"/>
            <w:shd w:fill="F2F6FA"/>
            <w:vAlign w:val="center"/>
          </w:tcPr>
          <w:p>
            <w:pPr>
              <w:spacing w:after="0" w:line="269" w:lineRule="auto"/>
            </w:pPr>
            <w:r/>
            <w:r>
              <w:rPr>
                <w:rFonts w:ascii="Noto Sans CJK SC" w:hAnsi="Noto Sans CJK SC" w:eastAsia="Noto Sans CJK SC"/>
                <w:b/>
                <w:sz w:val="16"/>
              </w:rPr>
              <w:t>第 4 周</w:t>
            </w:r>
          </w:p>
        </w:tc>
        <w:tc>
          <w:tcPr>
            <w:tcW w:type="dxa" w:w="4649"/>
            <w:vAlign w:val="center"/>
          </w:tcPr>
          <w:p>
            <w:pPr>
              <w:spacing w:after="0" w:line="269" w:lineRule="auto"/>
            </w:pPr>
            <w:r/>
            <w:r>
              <w:rPr>
                <w:rFonts w:ascii="Noto Sans CJK SC" w:hAnsi="Noto Sans CJK SC" w:eastAsia="Noto Sans CJK SC"/>
                <w:b w:val="0"/>
                <w:sz w:val="16"/>
              </w:rPr>
              <w:t>人工复核、履约留痕、证据包雏形、报告导出、演示打磨。</w:t>
            </w:r>
          </w:p>
        </w:tc>
        <w:tc>
          <w:tcPr>
            <w:tcW w:type="dxa" w:w="4195"/>
            <w:vAlign w:val="center"/>
          </w:tcPr>
          <w:p>
            <w:pPr>
              <w:spacing w:after="0" w:line="269" w:lineRule="auto"/>
            </w:pPr>
            <w:r/>
            <w:r>
              <w:rPr>
                <w:rFonts w:ascii="Noto Sans CJK SC" w:hAnsi="Noto Sans CJK SC" w:eastAsia="Noto Sans CJK SC"/>
                <w:b w:val="0"/>
                <w:sz w:val="16"/>
              </w:rPr>
              <w:t>法务复核页、证据时间线、导出报告、演示视频。</w:t>
            </w:r>
          </w:p>
        </w:tc>
      </w:tr>
      <w:tr>
        <w:tc>
          <w:tcPr>
            <w:tcW w:type="dxa" w:w="1701"/>
            <w:shd w:fill="F2F6FA"/>
            <w:vAlign w:val="center"/>
          </w:tcPr>
          <w:p>
            <w:pPr>
              <w:spacing w:after="0" w:line="269" w:lineRule="auto"/>
            </w:pPr>
            <w:r/>
            <w:r>
              <w:rPr>
                <w:rFonts w:ascii="Noto Sans CJK SC" w:hAnsi="Noto Sans CJK SC" w:eastAsia="Noto Sans CJK SC"/>
                <w:b/>
                <w:sz w:val="16"/>
              </w:rPr>
              <w:t>复赛后增强</w:t>
            </w:r>
          </w:p>
        </w:tc>
        <w:tc>
          <w:tcPr>
            <w:tcW w:type="dxa" w:w="4649"/>
            <w:vAlign w:val="center"/>
          </w:tcPr>
          <w:p>
            <w:pPr>
              <w:spacing w:after="0" w:line="269" w:lineRule="auto"/>
            </w:pPr>
            <w:r/>
            <w:r>
              <w:rPr>
                <w:rFonts w:ascii="Noto Sans CJK SC" w:hAnsi="Noto Sans CJK SC" w:eastAsia="Noto Sans CJK SC"/>
                <w:b w:val="0"/>
                <w:sz w:val="16"/>
              </w:rPr>
              <w:t>权限管理、更多规则、客户初筛演示、API 样例和管理看板。</w:t>
            </w:r>
          </w:p>
        </w:tc>
        <w:tc>
          <w:tcPr>
            <w:tcW w:type="dxa" w:w="4195"/>
            <w:vAlign w:val="center"/>
          </w:tcPr>
          <w:p>
            <w:pPr>
              <w:spacing w:after="0" w:line="269" w:lineRule="auto"/>
            </w:pPr>
            <w:r/>
            <w:r>
              <w:rPr>
                <w:rFonts w:ascii="Noto Sans CJK SC" w:hAnsi="Noto Sans CJK SC" w:eastAsia="Noto Sans CJK SC"/>
                <w:b w:val="0"/>
                <w:sz w:val="16"/>
              </w:rPr>
              <w:t>更完整 Demo、接口返回样例、管理看板和试用反馈。</w:t>
            </w:r>
          </w:p>
        </w:tc>
      </w:tr>
    </w:tbl>
    <w:p>
      <w:pPr>
        <w:spacing w:after="40"/>
      </w:pPr>
    </w:p>
    <w:p>
      <w:pPr>
        <w:pStyle w:val="Heading2"/>
        <w:spacing w:before="120" w:after="80"/>
      </w:pPr>
      <w:r>
        <w:rPr>
          <w:rFonts w:ascii="Noto Sans CJK SC" w:hAnsi="Noto Sans CJK SC" w:eastAsia="Noto Sans CJK SC"/>
          <w:b/>
          <w:color w:val="1F4E79"/>
          <w:sz w:val="25"/>
        </w:rPr>
        <w:t>（二）人力分工</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71"/>
            <w:shd w:fill="D9EAF7"/>
            <w:vAlign w:val="center"/>
          </w:tcPr>
          <w:p>
            <w:pPr>
              <w:spacing w:after="0" w:line="269" w:lineRule="auto"/>
              <w:jc w:val="center"/>
            </w:pPr>
            <w:r/>
            <w:r>
              <w:rPr>
                <w:rFonts w:ascii="Noto Sans CJK SC" w:hAnsi="Noto Sans CJK SC" w:eastAsia="Noto Sans CJK SC"/>
                <w:b/>
                <w:color w:val="1F4E79"/>
                <w:sz w:val="17"/>
              </w:rPr>
              <w:t>角色</w:t>
            </w:r>
          </w:p>
        </w:tc>
        <w:tc>
          <w:tcPr>
            <w:tcW w:type="dxa" w:w="4819"/>
            <w:shd w:fill="D9EAF7"/>
            <w:vAlign w:val="center"/>
          </w:tcPr>
          <w:p>
            <w:pPr>
              <w:spacing w:after="0" w:line="269" w:lineRule="auto"/>
              <w:jc w:val="center"/>
            </w:pPr>
            <w:r/>
            <w:r>
              <w:rPr>
                <w:rFonts w:ascii="Noto Sans CJK SC" w:hAnsi="Noto Sans CJK SC" w:eastAsia="Noto Sans CJK SC"/>
                <w:b/>
                <w:color w:val="1F4E79"/>
                <w:sz w:val="17"/>
              </w:rPr>
              <w:t>主要职责</w:t>
            </w:r>
          </w:p>
        </w:tc>
        <w:tc>
          <w:tcPr>
            <w:tcW w:type="dxa" w:w="3231"/>
            <w:shd w:fill="D9EAF7"/>
            <w:vAlign w:val="center"/>
          </w:tcPr>
          <w:p>
            <w:pPr>
              <w:spacing w:after="0" w:line="269" w:lineRule="auto"/>
              <w:jc w:val="center"/>
            </w:pPr>
            <w:r/>
            <w:r>
              <w:rPr>
                <w:rFonts w:ascii="Noto Sans CJK SC" w:hAnsi="Noto Sans CJK SC" w:eastAsia="Noto Sans CJK SC"/>
                <w:b/>
                <w:color w:val="1F4E79"/>
                <w:sz w:val="17"/>
              </w:rPr>
              <w:t>阶段重点</w:t>
            </w:r>
          </w:p>
        </w:tc>
      </w:tr>
      <w:tr>
        <w:tc>
          <w:tcPr>
            <w:tcW w:type="dxa" w:w="1871"/>
            <w:shd w:fill="F2F6FA"/>
            <w:vAlign w:val="center"/>
          </w:tcPr>
          <w:p>
            <w:pPr>
              <w:spacing w:after="0" w:line="269" w:lineRule="auto"/>
            </w:pPr>
            <w:r/>
            <w:r>
              <w:rPr>
                <w:rFonts w:ascii="Noto Sans CJK SC" w:hAnsi="Noto Sans CJK SC" w:eastAsia="Noto Sans CJK SC"/>
                <w:b/>
                <w:sz w:val="17"/>
              </w:rPr>
              <w:t>产品与调研</w:t>
            </w:r>
          </w:p>
        </w:tc>
        <w:tc>
          <w:tcPr>
            <w:tcW w:type="dxa" w:w="4819"/>
            <w:vAlign w:val="center"/>
          </w:tcPr>
          <w:p>
            <w:pPr>
              <w:spacing w:after="0" w:line="269" w:lineRule="auto"/>
            </w:pPr>
            <w:r/>
            <w:r>
              <w:rPr>
                <w:rFonts w:ascii="Noto Sans CJK SC" w:hAnsi="Noto Sans CJK SC" w:eastAsia="Noto Sans CJK SC"/>
                <w:b w:val="0"/>
                <w:sz w:val="17"/>
              </w:rPr>
              <w:t>用户访谈、问卷设计、业务流程、原型页面和演示脚本。</w:t>
            </w:r>
          </w:p>
        </w:tc>
        <w:tc>
          <w:tcPr>
            <w:tcW w:type="dxa" w:w="3231"/>
            <w:vAlign w:val="center"/>
          </w:tcPr>
          <w:p>
            <w:pPr>
              <w:spacing w:after="0" w:line="269" w:lineRule="auto"/>
            </w:pPr>
            <w:r/>
            <w:r>
              <w:rPr>
                <w:rFonts w:ascii="Noto Sans CJK SC" w:hAnsi="Noto Sans CJK SC" w:eastAsia="Noto Sans CJK SC"/>
                <w:b w:val="0"/>
                <w:sz w:val="17"/>
              </w:rPr>
              <w:t>第 1-4 周持续负责。</w:t>
            </w:r>
          </w:p>
        </w:tc>
      </w:tr>
      <w:tr>
        <w:tc>
          <w:tcPr>
            <w:tcW w:type="dxa" w:w="1871"/>
            <w:shd w:fill="F2F6FA"/>
            <w:vAlign w:val="center"/>
          </w:tcPr>
          <w:p>
            <w:pPr>
              <w:spacing w:after="0" w:line="269" w:lineRule="auto"/>
            </w:pPr>
            <w:r/>
            <w:r>
              <w:rPr>
                <w:rFonts w:ascii="Noto Sans CJK SC" w:hAnsi="Noto Sans CJK SC" w:eastAsia="Noto Sans CJK SC"/>
                <w:b/>
                <w:sz w:val="17"/>
              </w:rPr>
              <w:t>法律规则整理</w:t>
            </w:r>
          </w:p>
        </w:tc>
        <w:tc>
          <w:tcPr>
            <w:tcW w:type="dxa" w:w="4819"/>
            <w:vAlign w:val="center"/>
          </w:tcPr>
          <w:p>
            <w:pPr>
              <w:spacing w:after="0" w:line="269" w:lineRule="auto"/>
            </w:pPr>
            <w:r/>
            <w:r>
              <w:rPr>
                <w:rFonts w:ascii="Noto Sans CJK SC" w:hAnsi="Noto Sans CJK SC" w:eastAsia="Noto Sans CJK SC"/>
                <w:b w:val="0"/>
                <w:sz w:val="17"/>
              </w:rPr>
              <w:t>合同审查清单、规则库、案例材料、合规边界和报告模板。</w:t>
            </w:r>
          </w:p>
        </w:tc>
        <w:tc>
          <w:tcPr>
            <w:tcW w:type="dxa" w:w="3231"/>
            <w:vAlign w:val="center"/>
          </w:tcPr>
          <w:p>
            <w:pPr>
              <w:spacing w:after="0" w:line="269" w:lineRule="auto"/>
            </w:pPr>
            <w:r/>
            <w:r>
              <w:rPr>
                <w:rFonts w:ascii="Noto Sans CJK SC" w:hAnsi="Noto Sans CJK SC" w:eastAsia="Noto Sans CJK SC"/>
                <w:b w:val="0"/>
                <w:sz w:val="17"/>
              </w:rPr>
              <w:t>第 1 周重点整理，第 2-4 周校验输出。</w:t>
            </w:r>
          </w:p>
        </w:tc>
      </w:tr>
      <w:tr>
        <w:tc>
          <w:tcPr>
            <w:tcW w:type="dxa" w:w="1871"/>
            <w:shd w:fill="F2F6FA"/>
            <w:vAlign w:val="center"/>
          </w:tcPr>
          <w:p>
            <w:pPr>
              <w:spacing w:after="0" w:line="269" w:lineRule="auto"/>
            </w:pPr>
            <w:r/>
            <w:r>
              <w:rPr>
                <w:rFonts w:ascii="Noto Sans CJK SC" w:hAnsi="Noto Sans CJK SC" w:eastAsia="Noto Sans CJK SC"/>
                <w:b/>
                <w:sz w:val="17"/>
              </w:rPr>
              <w:t>前端与交互</w:t>
            </w:r>
          </w:p>
        </w:tc>
        <w:tc>
          <w:tcPr>
            <w:tcW w:type="dxa" w:w="4819"/>
            <w:vAlign w:val="center"/>
          </w:tcPr>
          <w:p>
            <w:pPr>
              <w:spacing w:after="0" w:line="269" w:lineRule="auto"/>
            </w:pPr>
            <w:r/>
            <w:r>
              <w:rPr>
                <w:rFonts w:ascii="Noto Sans CJK SC" w:hAnsi="Noto Sans CJK SC" w:eastAsia="Noto Sans CJK SC"/>
                <w:b w:val="0"/>
                <w:sz w:val="17"/>
              </w:rPr>
              <w:t>Web 页面、订单空间、风险报告页、复核页和导出页。</w:t>
            </w:r>
          </w:p>
        </w:tc>
        <w:tc>
          <w:tcPr>
            <w:tcW w:type="dxa" w:w="3231"/>
            <w:vAlign w:val="center"/>
          </w:tcPr>
          <w:p>
            <w:pPr>
              <w:spacing w:after="0" w:line="269" w:lineRule="auto"/>
            </w:pPr>
            <w:r/>
            <w:r>
              <w:rPr>
                <w:rFonts w:ascii="Noto Sans CJK SC" w:hAnsi="Noto Sans CJK SC" w:eastAsia="Noto Sans CJK SC"/>
                <w:b w:val="0"/>
                <w:sz w:val="17"/>
              </w:rPr>
              <w:t>第 2-4 周重点开发。</w:t>
            </w:r>
          </w:p>
        </w:tc>
      </w:tr>
      <w:tr>
        <w:tc>
          <w:tcPr>
            <w:tcW w:type="dxa" w:w="1871"/>
            <w:shd w:fill="F2F6FA"/>
            <w:vAlign w:val="center"/>
          </w:tcPr>
          <w:p>
            <w:pPr>
              <w:spacing w:after="0" w:line="269" w:lineRule="auto"/>
            </w:pPr>
            <w:r/>
            <w:r>
              <w:rPr>
                <w:rFonts w:ascii="Noto Sans CJK SC" w:hAnsi="Noto Sans CJK SC" w:eastAsia="Noto Sans CJK SC"/>
                <w:b/>
                <w:sz w:val="17"/>
              </w:rPr>
              <w:t>后端与模型调用</w:t>
            </w:r>
          </w:p>
        </w:tc>
        <w:tc>
          <w:tcPr>
            <w:tcW w:type="dxa" w:w="4819"/>
            <w:vAlign w:val="center"/>
          </w:tcPr>
          <w:p>
            <w:pPr>
              <w:spacing w:after="0" w:line="269" w:lineRule="auto"/>
            </w:pPr>
            <w:r/>
            <w:r>
              <w:rPr>
                <w:rFonts w:ascii="Noto Sans CJK SC" w:hAnsi="Noto Sans CJK SC" w:eastAsia="Noto Sans CJK SC"/>
                <w:b w:val="0"/>
                <w:sz w:val="17"/>
              </w:rPr>
              <w:t>文件/文本解析、字段抽取、规则匹配、模型调用、数据存储和报告导出。</w:t>
            </w:r>
          </w:p>
        </w:tc>
        <w:tc>
          <w:tcPr>
            <w:tcW w:type="dxa" w:w="3231"/>
            <w:vAlign w:val="center"/>
          </w:tcPr>
          <w:p>
            <w:pPr>
              <w:spacing w:after="0" w:line="269" w:lineRule="auto"/>
            </w:pPr>
            <w:r/>
            <w:r>
              <w:rPr>
                <w:rFonts w:ascii="Noto Sans CJK SC" w:hAnsi="Noto Sans CJK SC" w:eastAsia="Noto Sans CJK SC"/>
                <w:b w:val="0"/>
                <w:sz w:val="17"/>
              </w:rPr>
              <w:t>第 2-4 周重点开发。</w:t>
            </w:r>
          </w:p>
        </w:tc>
      </w:tr>
      <w:tr>
        <w:tc>
          <w:tcPr>
            <w:tcW w:type="dxa" w:w="1871"/>
            <w:shd w:fill="F2F6FA"/>
            <w:vAlign w:val="center"/>
          </w:tcPr>
          <w:p>
            <w:pPr>
              <w:spacing w:after="0" w:line="269" w:lineRule="auto"/>
            </w:pPr>
            <w:r/>
            <w:r>
              <w:rPr>
                <w:rFonts w:ascii="Noto Sans CJK SC" w:hAnsi="Noto Sans CJK SC" w:eastAsia="Noto Sans CJK SC"/>
                <w:b/>
                <w:sz w:val="17"/>
              </w:rPr>
              <w:t>展示与答辩</w:t>
            </w:r>
          </w:p>
        </w:tc>
        <w:tc>
          <w:tcPr>
            <w:tcW w:type="dxa" w:w="4819"/>
            <w:vAlign w:val="center"/>
          </w:tcPr>
          <w:p>
            <w:pPr>
              <w:spacing w:after="0" w:line="269" w:lineRule="auto"/>
            </w:pPr>
            <w:r/>
            <w:r>
              <w:rPr>
                <w:rFonts w:ascii="Noto Sans CJK SC" w:hAnsi="Noto Sans CJK SC" w:eastAsia="Noto Sans CJK SC"/>
                <w:b w:val="0"/>
                <w:sz w:val="17"/>
              </w:rPr>
              <w:t>产品故事线、演示视频、样例报告、PPT 和答辩问题准备。</w:t>
            </w:r>
          </w:p>
        </w:tc>
        <w:tc>
          <w:tcPr>
            <w:tcW w:type="dxa" w:w="3231"/>
            <w:vAlign w:val="center"/>
          </w:tcPr>
          <w:p>
            <w:pPr>
              <w:spacing w:after="0" w:line="269" w:lineRule="auto"/>
            </w:pPr>
            <w:r/>
            <w:r>
              <w:rPr>
                <w:rFonts w:ascii="Noto Sans CJK SC" w:hAnsi="Noto Sans CJK SC" w:eastAsia="Noto Sans CJK SC"/>
                <w:b w:val="0"/>
                <w:sz w:val="17"/>
              </w:rPr>
              <w:t>第 3-4 周重点准备。</w:t>
            </w:r>
          </w:p>
        </w:tc>
      </w:tr>
    </w:tbl>
    <w:p>
      <w:pPr>
        <w:spacing w:after="40"/>
      </w:pPr>
    </w:p>
    <w:p>
      <w:pPr>
        <w:pStyle w:val="Heading2"/>
        <w:spacing w:before="120" w:after="80"/>
      </w:pPr>
      <w:r>
        <w:rPr>
          <w:rFonts w:ascii="Noto Sans CJK SC" w:hAnsi="Noto Sans CJK SC" w:eastAsia="Noto Sans CJK SC"/>
          <w:b/>
          <w:color w:val="1F4E79"/>
          <w:sz w:val="25"/>
        </w:rPr>
        <w:t>（三）成本估算</w:t>
      </w:r>
    </w:p>
    <w:p>
      <w:pPr>
        <w:spacing w:after="100" w:line="283" w:lineRule="auto"/>
        <w:ind w:firstLine="420"/>
      </w:pPr>
      <w:r>
        <w:rPr>
          <w:rFonts w:ascii="Noto Sans CJK SC" w:hAnsi="Noto Sans CJK SC" w:eastAsia="Noto Sans CJK SC"/>
          <w:sz w:val="21"/>
        </w:rPr>
        <w:t>初赛阶段主要成本是时间成本和少量模型调用成本。MVP 阶段预计需要前端页面、后端接口、数据库、文件解析、模型调用和报告导出组件，采用轻量云服务和模拟数据，避免采购高成本第三方企业数据库。商业化阶段再考虑企业信息接口、制裁名单接口、CRM/ERP 接入、安全审计和客户服务成本。</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984"/>
            <w:shd w:fill="D9EAF7"/>
            <w:vAlign w:val="center"/>
          </w:tcPr>
          <w:p>
            <w:pPr>
              <w:spacing w:after="0" w:line="269" w:lineRule="auto"/>
              <w:jc w:val="center"/>
            </w:pPr>
            <w:r/>
            <w:r>
              <w:rPr>
                <w:rFonts w:ascii="Noto Sans CJK SC" w:hAnsi="Noto Sans CJK SC" w:eastAsia="Noto Sans CJK SC"/>
                <w:b/>
                <w:color w:val="1F4E79"/>
                <w:sz w:val="17"/>
              </w:rPr>
              <w:t>阶段</w:t>
            </w:r>
          </w:p>
        </w:tc>
        <w:tc>
          <w:tcPr>
            <w:tcW w:type="dxa" w:w="5102"/>
            <w:shd w:fill="D9EAF7"/>
            <w:vAlign w:val="center"/>
          </w:tcPr>
          <w:p>
            <w:pPr>
              <w:spacing w:after="0" w:line="269" w:lineRule="auto"/>
              <w:jc w:val="center"/>
            </w:pPr>
            <w:r/>
            <w:r>
              <w:rPr>
                <w:rFonts w:ascii="Noto Sans CJK SC" w:hAnsi="Noto Sans CJK SC" w:eastAsia="Noto Sans CJK SC"/>
                <w:b/>
                <w:color w:val="1F4E79"/>
                <w:sz w:val="17"/>
              </w:rPr>
              <w:t>主要投入</w:t>
            </w:r>
          </w:p>
        </w:tc>
        <w:tc>
          <w:tcPr>
            <w:tcW w:type="dxa" w:w="2835"/>
            <w:shd w:fill="D9EAF7"/>
            <w:vAlign w:val="center"/>
          </w:tcPr>
          <w:p>
            <w:pPr>
              <w:spacing w:after="0" w:line="269" w:lineRule="auto"/>
              <w:jc w:val="center"/>
            </w:pPr>
            <w:r/>
            <w:r>
              <w:rPr>
                <w:rFonts w:ascii="Noto Sans CJK SC" w:hAnsi="Noto Sans CJK SC" w:eastAsia="Noto Sans CJK SC"/>
                <w:b/>
                <w:color w:val="1F4E79"/>
                <w:sz w:val="17"/>
              </w:rPr>
              <w:t>成本特点</w:t>
            </w:r>
          </w:p>
        </w:tc>
      </w:tr>
      <w:tr>
        <w:tc>
          <w:tcPr>
            <w:tcW w:type="dxa" w:w="1984"/>
            <w:shd w:fill="F2F6FA"/>
            <w:vAlign w:val="center"/>
          </w:tcPr>
          <w:p>
            <w:pPr>
              <w:spacing w:after="0" w:line="269" w:lineRule="auto"/>
            </w:pPr>
            <w:r/>
            <w:r>
              <w:rPr>
                <w:rFonts w:ascii="Noto Sans CJK SC" w:hAnsi="Noto Sans CJK SC" w:eastAsia="Noto Sans CJK SC"/>
                <w:b/>
                <w:sz w:val="17"/>
              </w:rPr>
              <w:t>初赛创意方案</w:t>
            </w:r>
          </w:p>
        </w:tc>
        <w:tc>
          <w:tcPr>
            <w:tcW w:type="dxa" w:w="5102"/>
            <w:vAlign w:val="center"/>
          </w:tcPr>
          <w:p>
            <w:pPr>
              <w:spacing w:after="0" w:line="269" w:lineRule="auto"/>
            </w:pPr>
            <w:r/>
            <w:r>
              <w:rPr>
                <w:rFonts w:ascii="Noto Sans CJK SC" w:hAnsi="Noto Sans CJK SC" w:eastAsia="Noto Sans CJK SC"/>
                <w:b w:val="0"/>
                <w:sz w:val="17"/>
              </w:rPr>
              <w:t>用户访谈、方案文书、产品流程图、原型界面、样例规则库和模拟案例。</w:t>
            </w:r>
          </w:p>
        </w:tc>
        <w:tc>
          <w:tcPr>
            <w:tcW w:type="dxa" w:w="2835"/>
            <w:vAlign w:val="center"/>
          </w:tcPr>
          <w:p>
            <w:pPr>
              <w:spacing w:after="0" w:line="269" w:lineRule="auto"/>
            </w:pPr>
            <w:r/>
            <w:r>
              <w:rPr>
                <w:rFonts w:ascii="Noto Sans CJK SC" w:hAnsi="Noto Sans CJK SC" w:eastAsia="Noto Sans CJK SC"/>
                <w:b w:val="0"/>
                <w:sz w:val="17"/>
              </w:rPr>
              <w:t>低成本，重点在问题验证和方案表达。</w:t>
            </w:r>
          </w:p>
        </w:tc>
      </w:tr>
      <w:tr>
        <w:tc>
          <w:tcPr>
            <w:tcW w:type="dxa" w:w="1984"/>
            <w:shd w:fill="F2F6FA"/>
            <w:vAlign w:val="center"/>
          </w:tcPr>
          <w:p>
            <w:pPr>
              <w:spacing w:after="0" w:line="269" w:lineRule="auto"/>
            </w:pPr>
            <w:r/>
            <w:r>
              <w:rPr>
                <w:rFonts w:ascii="Noto Sans CJK SC" w:hAnsi="Noto Sans CJK SC" w:eastAsia="Noto Sans CJK SC"/>
                <w:b/>
                <w:sz w:val="17"/>
              </w:rPr>
              <w:t>MVP 原型开发</w:t>
            </w:r>
          </w:p>
        </w:tc>
        <w:tc>
          <w:tcPr>
            <w:tcW w:type="dxa" w:w="5102"/>
            <w:vAlign w:val="center"/>
          </w:tcPr>
          <w:p>
            <w:pPr>
              <w:spacing w:after="0" w:line="269" w:lineRule="auto"/>
            </w:pPr>
            <w:r/>
            <w:r>
              <w:rPr>
                <w:rFonts w:ascii="Noto Sans CJK SC" w:hAnsi="Noto Sans CJK SC" w:eastAsia="Noto Sans CJK SC"/>
                <w:b w:val="0"/>
                <w:sz w:val="17"/>
              </w:rPr>
              <w:t>Web 前端、后端服务、模型调用、文本解析、规则库、报告导出。</w:t>
            </w:r>
          </w:p>
        </w:tc>
        <w:tc>
          <w:tcPr>
            <w:tcW w:type="dxa" w:w="2835"/>
            <w:vAlign w:val="center"/>
          </w:tcPr>
          <w:p>
            <w:pPr>
              <w:spacing w:after="0" w:line="269" w:lineRule="auto"/>
            </w:pPr>
            <w:r/>
            <w:r>
              <w:rPr>
                <w:rFonts w:ascii="Noto Sans CJK SC" w:hAnsi="Noto Sans CJK SC" w:eastAsia="Noto Sans CJK SC"/>
                <w:b w:val="0"/>
                <w:sz w:val="17"/>
              </w:rPr>
              <w:t>可使用轻量云服务和少量模型调用，控制在学生团队可承受范围。</w:t>
            </w:r>
          </w:p>
        </w:tc>
      </w:tr>
      <w:tr>
        <w:tc>
          <w:tcPr>
            <w:tcW w:type="dxa" w:w="1984"/>
            <w:shd w:fill="F2F6FA"/>
            <w:vAlign w:val="center"/>
          </w:tcPr>
          <w:p>
            <w:pPr>
              <w:spacing w:after="0" w:line="269" w:lineRule="auto"/>
            </w:pPr>
            <w:r/>
            <w:r>
              <w:rPr>
                <w:rFonts w:ascii="Noto Sans CJK SC" w:hAnsi="Noto Sans CJK SC" w:eastAsia="Noto Sans CJK SC"/>
                <w:b/>
                <w:sz w:val="17"/>
              </w:rPr>
              <w:t>复赛/决赛强化</w:t>
            </w:r>
          </w:p>
        </w:tc>
        <w:tc>
          <w:tcPr>
            <w:tcW w:type="dxa" w:w="5102"/>
            <w:vAlign w:val="center"/>
          </w:tcPr>
          <w:p>
            <w:pPr>
              <w:spacing w:after="0" w:line="269" w:lineRule="auto"/>
            </w:pPr>
            <w:r/>
            <w:r>
              <w:rPr>
                <w:rFonts w:ascii="Noto Sans CJK SC" w:hAnsi="Noto Sans CJK SC" w:eastAsia="Noto Sans CJK SC"/>
                <w:b w:val="0"/>
                <w:sz w:val="17"/>
              </w:rPr>
              <w:t>多角色权限、复核流程、更多规则、证据包、日志留痕、管理看板。</w:t>
            </w:r>
          </w:p>
        </w:tc>
        <w:tc>
          <w:tcPr>
            <w:tcW w:type="dxa" w:w="2835"/>
            <w:vAlign w:val="center"/>
          </w:tcPr>
          <w:p>
            <w:pPr>
              <w:spacing w:after="0" w:line="269" w:lineRule="auto"/>
            </w:pPr>
            <w:r/>
            <w:r>
              <w:rPr>
                <w:rFonts w:ascii="Noto Sans CJK SC" w:hAnsi="Noto Sans CJK SC" w:eastAsia="Noto Sans CJK SC"/>
                <w:b w:val="0"/>
                <w:sz w:val="17"/>
              </w:rPr>
              <w:t>成本上升，重点在可用性、稳定性和演示完整度。</w:t>
            </w:r>
          </w:p>
        </w:tc>
      </w:tr>
      <w:tr>
        <w:tc>
          <w:tcPr>
            <w:tcW w:type="dxa" w:w="1984"/>
            <w:shd w:fill="F2F6FA"/>
            <w:vAlign w:val="center"/>
          </w:tcPr>
          <w:p>
            <w:pPr>
              <w:spacing w:after="0" w:line="269" w:lineRule="auto"/>
            </w:pPr>
            <w:r/>
            <w:r>
              <w:rPr>
                <w:rFonts w:ascii="Noto Sans CJK SC" w:hAnsi="Noto Sans CJK SC" w:eastAsia="Noto Sans CJK SC"/>
                <w:b/>
                <w:sz w:val="17"/>
              </w:rPr>
              <w:t>商业化阶段</w:t>
            </w:r>
          </w:p>
        </w:tc>
        <w:tc>
          <w:tcPr>
            <w:tcW w:type="dxa" w:w="5102"/>
            <w:vAlign w:val="center"/>
          </w:tcPr>
          <w:p>
            <w:pPr>
              <w:spacing w:after="0" w:line="269" w:lineRule="auto"/>
            </w:pPr>
            <w:r/>
            <w:r>
              <w:rPr>
                <w:rFonts w:ascii="Noto Sans CJK SC" w:hAnsi="Noto Sans CJK SC" w:eastAsia="Noto Sans CJK SC"/>
                <w:b w:val="0"/>
                <w:sz w:val="17"/>
              </w:rPr>
              <w:t>企业信息接口、制裁名单接口、CRM/ERP 接入、安全审计、客户成功和企业部署。</w:t>
            </w:r>
          </w:p>
        </w:tc>
        <w:tc>
          <w:tcPr>
            <w:tcW w:type="dxa" w:w="2835"/>
            <w:vAlign w:val="center"/>
          </w:tcPr>
          <w:p>
            <w:pPr>
              <w:spacing w:after="0" w:line="269" w:lineRule="auto"/>
            </w:pPr>
            <w:r/>
            <w:r>
              <w:rPr>
                <w:rFonts w:ascii="Noto Sans CJK SC" w:hAnsi="Noto Sans CJK SC" w:eastAsia="Noto Sans CJK SC"/>
                <w:b w:val="0"/>
                <w:sz w:val="17"/>
              </w:rPr>
              <w:t>持续投入，重点在规模化交付和合规运营。</w:t>
            </w:r>
          </w:p>
        </w:tc>
      </w:tr>
    </w:tbl>
    <w:p>
      <w:pPr>
        <w:spacing w:after="40"/>
      </w:pPr>
    </w:p>
    <w:p>
      <w:pPr>
        <w:spacing w:after="100" w:line="283" w:lineRule="auto"/>
        <w:ind w:firstLine="420"/>
      </w:pPr>
      <w:r>
        <w:rPr>
          <w:rFonts w:ascii="Noto Sans CJK SC" w:hAnsi="Noto Sans CJK SC" w:eastAsia="Noto Sans CJK SC"/>
          <w:sz w:val="21"/>
        </w:rPr>
        <w:t>外部数据使用原则：不建议继续使用缺乏可靠来源的“全球法律科技市场规模”“法律顾问渗透率”“AI 工具使纠纷率下降约 20%”等数据。初赛文书更适合使用中国—东盟贸易数据、Incoterms、民法典、电子证据规则、个人信息保护法、网络安全法和数据安全法等可查证依据。</w:t>
      </w:r>
    </w:p>
    <w:p>
      <w:pPr>
        <w:pStyle w:val="Heading1"/>
        <w:spacing w:before="200" w:after="80"/>
      </w:pPr>
      <w:r>
        <w:rPr>
          <w:rFonts w:ascii="Noto Sans CJK SC" w:hAnsi="Noto Sans CJK SC" w:eastAsia="Noto Sans CJK SC"/>
          <w:b/>
          <w:color w:val="1F4E79"/>
          <w:sz w:val="30"/>
        </w:rPr>
        <w:t>十一、发展潜力与商业化路径</w:t>
      </w:r>
    </w:p>
    <w:p>
      <w:pPr>
        <w:pStyle w:val="Heading2"/>
        <w:spacing w:before="120" w:after="80"/>
      </w:pPr>
      <w:r>
        <w:rPr>
          <w:rFonts w:ascii="Noto Sans CJK SC" w:hAnsi="Noto Sans CJK SC" w:eastAsia="Noto Sans CJK SC"/>
          <w:b/>
          <w:color w:val="1F4E79"/>
          <w:sz w:val="25"/>
        </w:rPr>
        <w:t>（一）产品扩展路径</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928"/>
            <w:shd w:fill="D9EAF7"/>
            <w:vAlign w:val="center"/>
          </w:tcPr>
          <w:p>
            <w:pPr>
              <w:spacing w:after="0" w:line="269" w:lineRule="auto"/>
              <w:jc w:val="center"/>
            </w:pPr>
            <w:r/>
            <w:r>
              <w:rPr>
                <w:rFonts w:ascii="Noto Sans CJK SC" w:hAnsi="Noto Sans CJK SC" w:eastAsia="Noto Sans CJK SC"/>
                <w:b/>
                <w:color w:val="1F4E79"/>
                <w:sz w:val="16"/>
              </w:rPr>
              <w:t>扩展方向</w:t>
            </w:r>
          </w:p>
        </w:tc>
        <w:tc>
          <w:tcPr>
            <w:tcW w:type="dxa" w:w="4819"/>
            <w:shd w:fill="D9EAF7"/>
            <w:vAlign w:val="center"/>
          </w:tcPr>
          <w:p>
            <w:pPr>
              <w:spacing w:after="0" w:line="269" w:lineRule="auto"/>
              <w:jc w:val="center"/>
            </w:pPr>
            <w:r/>
            <w:r>
              <w:rPr>
                <w:rFonts w:ascii="Noto Sans CJK SC" w:hAnsi="Noto Sans CJK SC" w:eastAsia="Noto Sans CJK SC"/>
                <w:b/>
                <w:color w:val="1F4E79"/>
                <w:sz w:val="16"/>
              </w:rPr>
              <w:t>能力说明</w:t>
            </w:r>
          </w:p>
        </w:tc>
        <w:tc>
          <w:tcPr>
            <w:tcW w:type="dxa" w:w="3515"/>
            <w:shd w:fill="D9EAF7"/>
            <w:vAlign w:val="center"/>
          </w:tcPr>
          <w:p>
            <w:pPr>
              <w:spacing w:after="0" w:line="269" w:lineRule="auto"/>
              <w:jc w:val="center"/>
            </w:pPr>
            <w:r/>
            <w:r>
              <w:rPr>
                <w:rFonts w:ascii="Noto Sans CJK SC" w:hAnsi="Noto Sans CJK SC" w:eastAsia="Noto Sans CJK SC"/>
                <w:b/>
                <w:color w:val="1F4E79"/>
                <w:sz w:val="16"/>
              </w:rPr>
              <w:t>注意边界</w:t>
            </w:r>
          </w:p>
        </w:tc>
      </w:tr>
      <w:tr>
        <w:tc>
          <w:tcPr>
            <w:tcW w:type="dxa" w:w="1928"/>
            <w:shd w:fill="F2F6FA"/>
            <w:vAlign w:val="center"/>
          </w:tcPr>
          <w:p>
            <w:pPr>
              <w:spacing w:after="0" w:line="269" w:lineRule="auto"/>
            </w:pPr>
            <w:r/>
            <w:r>
              <w:rPr>
                <w:rFonts w:ascii="Noto Sans CJK SC" w:hAnsi="Noto Sans CJK SC" w:eastAsia="Noto Sans CJK SC"/>
                <w:b/>
                <w:sz w:val="16"/>
              </w:rPr>
              <w:t>客户风险初筛</w:t>
            </w:r>
          </w:p>
        </w:tc>
        <w:tc>
          <w:tcPr>
            <w:tcW w:type="dxa" w:w="4819"/>
            <w:vAlign w:val="center"/>
          </w:tcPr>
          <w:p>
            <w:pPr>
              <w:spacing w:after="0" w:line="269" w:lineRule="auto"/>
            </w:pPr>
            <w:r/>
            <w:r>
              <w:rPr>
                <w:rFonts w:ascii="Noto Sans CJK SC" w:hAnsi="Noto Sans CJK SC" w:eastAsia="Noto Sans CJK SC"/>
                <w:b w:val="0"/>
                <w:sz w:val="16"/>
              </w:rPr>
              <w:t>接入企业信息、名单筛查、负面舆情、邮箱域名和内部黑名单。</w:t>
            </w:r>
          </w:p>
        </w:tc>
        <w:tc>
          <w:tcPr>
            <w:tcW w:type="dxa" w:w="3515"/>
            <w:vAlign w:val="center"/>
          </w:tcPr>
          <w:p>
            <w:pPr>
              <w:spacing w:after="0" w:line="269" w:lineRule="auto"/>
            </w:pPr>
            <w:r/>
            <w:r>
              <w:rPr>
                <w:rFonts w:ascii="Noto Sans CJK SC" w:hAnsi="Noto Sans CJK SC" w:eastAsia="Noto Sans CJK SC"/>
                <w:b w:val="0"/>
                <w:sz w:val="16"/>
              </w:rPr>
              <w:t>MVP 不承诺实时判断；二期需解决数据源和合规授权问题。</w:t>
            </w:r>
          </w:p>
        </w:tc>
      </w:tr>
      <w:tr>
        <w:tc>
          <w:tcPr>
            <w:tcW w:type="dxa" w:w="1928"/>
            <w:shd w:fill="F2F6FA"/>
            <w:vAlign w:val="center"/>
          </w:tcPr>
          <w:p>
            <w:pPr>
              <w:spacing w:after="0" w:line="269" w:lineRule="auto"/>
            </w:pPr>
            <w:r/>
            <w:r>
              <w:rPr>
                <w:rFonts w:ascii="Noto Sans CJK SC" w:hAnsi="Noto Sans CJK SC" w:eastAsia="Noto Sans CJK SC"/>
                <w:b/>
                <w:sz w:val="16"/>
              </w:rPr>
              <w:t>企业系统接入</w:t>
            </w:r>
          </w:p>
        </w:tc>
        <w:tc>
          <w:tcPr>
            <w:tcW w:type="dxa" w:w="4819"/>
            <w:vAlign w:val="center"/>
          </w:tcPr>
          <w:p>
            <w:pPr>
              <w:spacing w:after="0" w:line="269" w:lineRule="auto"/>
            </w:pPr>
            <w:r/>
            <w:r>
              <w:rPr>
                <w:rFonts w:ascii="Noto Sans CJK SC" w:hAnsi="Noto Sans CJK SC" w:eastAsia="Noto Sans CJK SC"/>
                <w:b w:val="0"/>
                <w:sz w:val="16"/>
              </w:rPr>
              <w:t>接入外贸 CRM、ERP、订单管理平台和沟通平台。</w:t>
            </w:r>
          </w:p>
        </w:tc>
        <w:tc>
          <w:tcPr>
            <w:tcW w:type="dxa" w:w="3515"/>
            <w:vAlign w:val="center"/>
          </w:tcPr>
          <w:p>
            <w:pPr>
              <w:spacing w:after="0" w:line="269" w:lineRule="auto"/>
            </w:pPr>
            <w:r/>
            <w:r>
              <w:rPr>
                <w:rFonts w:ascii="Noto Sans CJK SC" w:hAnsi="Noto Sans CJK SC" w:eastAsia="Noto Sans CJK SC"/>
                <w:b w:val="0"/>
                <w:sz w:val="16"/>
              </w:rPr>
              <w:t>优先通过 API 接入，不在初赛阶段深度开发。</w:t>
            </w:r>
          </w:p>
        </w:tc>
      </w:tr>
      <w:tr>
        <w:tc>
          <w:tcPr>
            <w:tcW w:type="dxa" w:w="1928"/>
            <w:shd w:fill="F2F6FA"/>
            <w:vAlign w:val="center"/>
          </w:tcPr>
          <w:p>
            <w:pPr>
              <w:spacing w:after="0" w:line="269" w:lineRule="auto"/>
            </w:pPr>
            <w:r/>
            <w:r>
              <w:rPr>
                <w:rFonts w:ascii="Noto Sans CJK SC" w:hAnsi="Noto Sans CJK SC" w:eastAsia="Noto Sans CJK SC"/>
                <w:b/>
                <w:sz w:val="16"/>
              </w:rPr>
              <w:t>对话式入口</w:t>
            </w:r>
          </w:p>
        </w:tc>
        <w:tc>
          <w:tcPr>
            <w:tcW w:type="dxa" w:w="4819"/>
            <w:vAlign w:val="center"/>
          </w:tcPr>
          <w:p>
            <w:pPr>
              <w:spacing w:after="0" w:line="269" w:lineRule="auto"/>
            </w:pPr>
            <w:r/>
            <w:r>
              <w:rPr>
                <w:rFonts w:ascii="Noto Sans CJK SC" w:hAnsi="Noto Sans CJK SC" w:eastAsia="Noto Sans CJK SC"/>
                <w:b w:val="0"/>
                <w:sz w:val="16"/>
              </w:rPr>
              <w:t>业务员用自然语言提问：“客户要求 DDP 到印尼，我需要注意什么？”</w:t>
            </w:r>
          </w:p>
        </w:tc>
        <w:tc>
          <w:tcPr>
            <w:tcW w:type="dxa" w:w="3515"/>
            <w:vAlign w:val="center"/>
          </w:tcPr>
          <w:p>
            <w:pPr>
              <w:spacing w:after="0" w:line="269" w:lineRule="auto"/>
            </w:pPr>
            <w:r/>
            <w:r>
              <w:rPr>
                <w:rFonts w:ascii="Noto Sans CJK SC" w:hAnsi="Noto Sans CJK SC" w:eastAsia="Noto Sans CJK SC"/>
                <w:b w:val="0"/>
                <w:sz w:val="16"/>
              </w:rPr>
              <w:t>作为 Web 能力的入口，不替代完整工作台。</w:t>
            </w:r>
          </w:p>
        </w:tc>
      </w:tr>
      <w:tr>
        <w:tc>
          <w:tcPr>
            <w:tcW w:type="dxa" w:w="1928"/>
            <w:shd w:fill="F2F6FA"/>
            <w:vAlign w:val="center"/>
          </w:tcPr>
          <w:p>
            <w:pPr>
              <w:spacing w:after="0" w:line="269" w:lineRule="auto"/>
            </w:pPr>
            <w:r/>
            <w:r>
              <w:rPr>
                <w:rFonts w:ascii="Noto Sans CJK SC" w:hAnsi="Noto Sans CJK SC" w:eastAsia="Noto Sans CJK SC"/>
                <w:b/>
                <w:sz w:val="16"/>
              </w:rPr>
              <w:t>国家风险卡片</w:t>
            </w:r>
          </w:p>
        </w:tc>
        <w:tc>
          <w:tcPr>
            <w:tcW w:type="dxa" w:w="4819"/>
            <w:vAlign w:val="center"/>
          </w:tcPr>
          <w:p>
            <w:pPr>
              <w:spacing w:after="0" w:line="269" w:lineRule="auto"/>
            </w:pPr>
            <w:r/>
            <w:r>
              <w:rPr>
                <w:rFonts w:ascii="Noto Sans CJK SC" w:hAnsi="Noto Sans CJK SC" w:eastAsia="Noto Sans CJK SC"/>
                <w:b w:val="0"/>
                <w:sz w:val="16"/>
              </w:rPr>
              <w:t>越南、印尼、马来西亚、泰国、菲律宾、新加坡等目的国交易注意事项。</w:t>
            </w:r>
          </w:p>
        </w:tc>
        <w:tc>
          <w:tcPr>
            <w:tcW w:type="dxa" w:w="3515"/>
            <w:vAlign w:val="center"/>
          </w:tcPr>
          <w:p>
            <w:pPr>
              <w:spacing w:after="0" w:line="269" w:lineRule="auto"/>
            </w:pPr>
            <w:r/>
            <w:r>
              <w:rPr>
                <w:rFonts w:ascii="Noto Sans CJK SC" w:hAnsi="Noto Sans CJK SC" w:eastAsia="Noto Sans CJK SC"/>
                <w:b w:val="0"/>
                <w:sz w:val="16"/>
              </w:rPr>
              <w:t>表述为交易注意事项，不作为当地法律意见。</w:t>
            </w:r>
          </w:p>
        </w:tc>
      </w:tr>
      <w:tr>
        <w:tc>
          <w:tcPr>
            <w:tcW w:type="dxa" w:w="1928"/>
            <w:shd w:fill="F2F6FA"/>
            <w:vAlign w:val="center"/>
          </w:tcPr>
          <w:p>
            <w:pPr>
              <w:spacing w:after="0" w:line="269" w:lineRule="auto"/>
            </w:pPr>
            <w:r/>
            <w:r>
              <w:rPr>
                <w:rFonts w:ascii="Noto Sans CJK SC" w:hAnsi="Noto Sans CJK SC" w:eastAsia="Noto Sans CJK SC"/>
                <w:b/>
                <w:sz w:val="16"/>
              </w:rPr>
              <w:t>行业模板库</w:t>
            </w:r>
          </w:p>
        </w:tc>
        <w:tc>
          <w:tcPr>
            <w:tcW w:type="dxa" w:w="4819"/>
            <w:vAlign w:val="center"/>
          </w:tcPr>
          <w:p>
            <w:pPr>
              <w:spacing w:after="0" w:line="269" w:lineRule="auto"/>
            </w:pPr>
            <w:r/>
            <w:r>
              <w:rPr>
                <w:rFonts w:ascii="Noto Sans CJK SC" w:hAnsi="Noto Sans CJK SC" w:eastAsia="Noto Sans CJK SC"/>
                <w:b w:val="0"/>
                <w:sz w:val="16"/>
              </w:rPr>
              <w:t>包装、机械、电子、服装、日用品等行业合同条款和单据清单。</w:t>
            </w:r>
          </w:p>
        </w:tc>
        <w:tc>
          <w:tcPr>
            <w:tcW w:type="dxa" w:w="3515"/>
            <w:vAlign w:val="center"/>
          </w:tcPr>
          <w:p>
            <w:pPr>
              <w:spacing w:after="0" w:line="269" w:lineRule="auto"/>
            </w:pPr>
            <w:r/>
            <w:r>
              <w:rPr>
                <w:rFonts w:ascii="Noto Sans CJK SC" w:hAnsi="Noto Sans CJK SC" w:eastAsia="Noto Sans CJK SC"/>
                <w:b w:val="0"/>
                <w:sz w:val="16"/>
              </w:rPr>
              <w:t>需要结合行业访谈和人工校验。</w:t>
            </w:r>
          </w:p>
        </w:tc>
      </w:tr>
      <w:tr>
        <w:tc>
          <w:tcPr>
            <w:tcW w:type="dxa" w:w="1928"/>
            <w:shd w:fill="F2F6FA"/>
            <w:vAlign w:val="center"/>
          </w:tcPr>
          <w:p>
            <w:pPr>
              <w:spacing w:after="0" w:line="269" w:lineRule="auto"/>
            </w:pPr>
            <w:r/>
            <w:r>
              <w:rPr>
                <w:rFonts w:ascii="Noto Sans CJK SC" w:hAnsi="Noto Sans CJK SC" w:eastAsia="Noto Sans CJK SC"/>
                <w:b/>
                <w:sz w:val="16"/>
              </w:rPr>
              <w:t>律所协作服务</w:t>
            </w:r>
          </w:p>
        </w:tc>
        <w:tc>
          <w:tcPr>
            <w:tcW w:type="dxa" w:w="4819"/>
            <w:vAlign w:val="center"/>
          </w:tcPr>
          <w:p>
            <w:pPr>
              <w:spacing w:after="0" w:line="269" w:lineRule="auto"/>
            </w:pPr>
            <w:r/>
            <w:r>
              <w:rPr>
                <w:rFonts w:ascii="Noto Sans CJK SC" w:hAnsi="Noto Sans CJK SC" w:eastAsia="Noto Sans CJK SC"/>
                <w:b w:val="0"/>
                <w:sz w:val="16"/>
              </w:rPr>
              <w:t>高风险事项转外部律师复核，形成标准化服务包。</w:t>
            </w:r>
          </w:p>
        </w:tc>
        <w:tc>
          <w:tcPr>
            <w:tcW w:type="dxa" w:w="3515"/>
            <w:vAlign w:val="center"/>
          </w:tcPr>
          <w:p>
            <w:pPr>
              <w:spacing w:after="0" w:line="269" w:lineRule="auto"/>
            </w:pPr>
            <w:r/>
            <w:r>
              <w:rPr>
                <w:rFonts w:ascii="Noto Sans CJK SC" w:hAnsi="Noto Sans CJK SC" w:eastAsia="Noto Sans CJK SC"/>
                <w:b w:val="0"/>
                <w:sz w:val="16"/>
              </w:rPr>
              <w:t>需要明确服务边界、责任分配和收费模式。</w:t>
            </w:r>
          </w:p>
        </w:tc>
      </w:tr>
    </w:tbl>
    <w:p>
      <w:pPr>
        <w:spacing w:after="40"/>
      </w:pPr>
    </w:p>
    <w:p>
      <w:pPr>
        <w:pStyle w:val="Heading2"/>
        <w:spacing w:before="120" w:after="80"/>
      </w:pPr>
      <w:r>
        <w:rPr>
          <w:rFonts w:ascii="Noto Sans CJK SC" w:hAnsi="Noto Sans CJK SC" w:eastAsia="Noto Sans CJK SC"/>
          <w:b/>
          <w:color w:val="1F4E79"/>
          <w:sz w:val="25"/>
        </w:rPr>
        <w:t>（二）商业化路径</w:t>
      </w:r>
    </w:p>
    <w:p>
      <w:pPr>
        <w:pStyle w:val="ListBullet"/>
        <w:spacing w:after="40" w:line="276" w:lineRule="auto"/>
        <w:ind w:left="340"/>
      </w:pPr>
      <w:r>
        <w:rPr>
          <w:rFonts w:ascii="Noto Sans CJK SC" w:hAnsi="Noto Sans CJK SC" w:eastAsia="Noto Sans CJK SC"/>
          <w:sz w:val="20"/>
        </w:rPr>
        <w:t>SaaS 订阅：面向中小外贸企业按月或按年收费，提供订单审查额度、规则库和报告导出能力。</w:t>
      </w:r>
    </w:p>
    <w:p>
      <w:pPr>
        <w:pStyle w:val="ListBullet"/>
        <w:spacing w:after="40" w:line="276" w:lineRule="auto"/>
        <w:ind w:left="340"/>
      </w:pPr>
      <w:r>
        <w:rPr>
          <w:rFonts w:ascii="Noto Sans CJK SC" w:hAnsi="Noto Sans CJK SC" w:eastAsia="Noto Sans CJK SC"/>
          <w:sz w:val="20"/>
        </w:rPr>
        <w:t>API 服务：面向外贸 CRM、ERP、律所、商协会和外贸服务商提供接口调用。</w:t>
      </w:r>
    </w:p>
    <w:p>
      <w:pPr>
        <w:pStyle w:val="ListBullet"/>
        <w:spacing w:after="40" w:line="276" w:lineRule="auto"/>
        <w:ind w:left="340"/>
      </w:pPr>
      <w:r>
        <w:rPr>
          <w:rFonts w:ascii="Noto Sans CJK SC" w:hAnsi="Noto Sans CJK SC" w:eastAsia="Noto Sans CJK SC"/>
          <w:sz w:val="20"/>
        </w:rPr>
        <w:t>企业版部署：为较大外贸企业提供权限管理、内部模板库、私有化部署和安全审计。</w:t>
      </w:r>
    </w:p>
    <w:p>
      <w:pPr>
        <w:pStyle w:val="ListBullet"/>
        <w:spacing w:after="40" w:line="276" w:lineRule="auto"/>
        <w:ind w:left="340"/>
      </w:pPr>
      <w:r>
        <w:rPr>
          <w:rFonts w:ascii="Noto Sans CJK SC" w:hAnsi="Noto Sans CJK SC" w:eastAsia="Noto Sans CJK SC"/>
          <w:sz w:val="20"/>
        </w:rPr>
        <w:t>行业工具包：面向产业园区、商协会和培训机构提供东南亚出口订单风险工具包。</w:t>
      </w:r>
    </w:p>
    <w:p>
      <w:pPr>
        <w:pStyle w:val="ListBullet"/>
        <w:spacing w:after="40" w:line="276" w:lineRule="auto"/>
        <w:ind w:left="340"/>
      </w:pPr>
      <w:r>
        <w:rPr>
          <w:rFonts w:ascii="Noto Sans CJK SC" w:hAnsi="Noto Sans CJK SC" w:eastAsia="Noto Sans CJK SC"/>
          <w:sz w:val="20"/>
        </w:rPr>
        <w:t>律师协作网络：红色风险或复杂争议引导至合作律师或涉外法律服务团队复核。</w:t>
      </w:r>
    </w:p>
    <w:p>
      <w:pPr>
        <w:pStyle w:val="Heading2"/>
        <w:spacing w:before="120" w:after="80"/>
      </w:pPr>
      <w:r>
        <w:rPr>
          <w:rFonts w:ascii="Noto Sans CJK SC" w:hAnsi="Noto Sans CJK SC" w:eastAsia="Noto Sans CJK SC"/>
          <w:b/>
          <w:color w:val="1F4E79"/>
          <w:sz w:val="25"/>
        </w:rPr>
        <w:t>（三）迭代路线</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871"/>
            <w:shd w:fill="D9EAF7"/>
            <w:vAlign w:val="center"/>
          </w:tcPr>
          <w:p>
            <w:pPr>
              <w:spacing w:after="0" w:line="269" w:lineRule="auto"/>
              <w:jc w:val="center"/>
            </w:pPr>
            <w:r/>
            <w:r>
              <w:rPr>
                <w:rFonts w:ascii="Noto Sans CJK SC" w:hAnsi="Noto Sans CJK SC" w:eastAsia="Noto Sans CJK SC"/>
                <w:b/>
                <w:color w:val="1F4E79"/>
                <w:sz w:val="17"/>
              </w:rPr>
              <w:t>阶段</w:t>
            </w:r>
          </w:p>
        </w:tc>
        <w:tc>
          <w:tcPr>
            <w:tcW w:type="dxa" w:w="4876"/>
            <w:shd w:fill="D9EAF7"/>
            <w:vAlign w:val="center"/>
          </w:tcPr>
          <w:p>
            <w:pPr>
              <w:spacing w:after="0" w:line="269" w:lineRule="auto"/>
              <w:jc w:val="center"/>
            </w:pPr>
            <w:r/>
            <w:r>
              <w:rPr>
                <w:rFonts w:ascii="Noto Sans CJK SC" w:hAnsi="Noto Sans CJK SC" w:eastAsia="Noto Sans CJK SC"/>
                <w:b/>
                <w:color w:val="1F4E79"/>
                <w:sz w:val="17"/>
              </w:rPr>
              <w:t>重点目标</w:t>
            </w:r>
          </w:p>
        </w:tc>
        <w:tc>
          <w:tcPr>
            <w:tcW w:type="dxa" w:w="3288"/>
            <w:shd w:fill="D9EAF7"/>
            <w:vAlign w:val="center"/>
          </w:tcPr>
          <w:p>
            <w:pPr>
              <w:spacing w:after="0" w:line="269" w:lineRule="auto"/>
              <w:jc w:val="center"/>
            </w:pPr>
            <w:r/>
            <w:r>
              <w:rPr>
                <w:rFonts w:ascii="Noto Sans CJK SC" w:hAnsi="Noto Sans CJK SC" w:eastAsia="Noto Sans CJK SC"/>
                <w:b/>
                <w:color w:val="1F4E79"/>
                <w:sz w:val="17"/>
              </w:rPr>
              <w:t>可展示成果</w:t>
            </w:r>
          </w:p>
        </w:tc>
      </w:tr>
      <w:tr>
        <w:tc>
          <w:tcPr>
            <w:tcW w:type="dxa" w:w="1871"/>
            <w:shd w:fill="F2F6FA"/>
            <w:vAlign w:val="center"/>
          </w:tcPr>
          <w:p>
            <w:pPr>
              <w:spacing w:after="0" w:line="269" w:lineRule="auto"/>
            </w:pPr>
            <w:r/>
            <w:r>
              <w:rPr>
                <w:rFonts w:ascii="Noto Sans CJK SC" w:hAnsi="Noto Sans CJK SC" w:eastAsia="Noto Sans CJK SC"/>
                <w:b/>
                <w:sz w:val="17"/>
              </w:rPr>
              <w:t>初赛创意方案</w:t>
            </w:r>
          </w:p>
        </w:tc>
        <w:tc>
          <w:tcPr>
            <w:tcW w:type="dxa" w:w="4876"/>
            <w:vAlign w:val="center"/>
          </w:tcPr>
          <w:p>
            <w:pPr>
              <w:spacing w:after="0" w:line="269" w:lineRule="auto"/>
            </w:pPr>
            <w:r/>
            <w:r>
              <w:rPr>
                <w:rFonts w:ascii="Noto Sans CJK SC" w:hAnsi="Noto Sans CJK SC" w:eastAsia="Noto Sans CJK SC"/>
                <w:b w:val="0"/>
                <w:sz w:val="17"/>
              </w:rPr>
              <w:t>讲清楚痛点、用户、场景、MVP 闭环、合规边界和发展潜力。</w:t>
            </w:r>
          </w:p>
        </w:tc>
        <w:tc>
          <w:tcPr>
            <w:tcW w:type="dxa" w:w="3288"/>
            <w:vAlign w:val="center"/>
          </w:tcPr>
          <w:p>
            <w:pPr>
              <w:spacing w:after="0" w:line="269" w:lineRule="auto"/>
            </w:pPr>
            <w:r/>
            <w:r>
              <w:rPr>
                <w:rFonts w:ascii="Noto Sans CJK SC" w:hAnsi="Noto Sans CJK SC" w:eastAsia="Noto Sans CJK SC"/>
                <w:b w:val="0"/>
                <w:sz w:val="17"/>
              </w:rPr>
              <w:t>优化版方案文书、流程图、原型图、案例卡片、样例报告。</w:t>
            </w:r>
          </w:p>
        </w:tc>
      </w:tr>
      <w:tr>
        <w:tc>
          <w:tcPr>
            <w:tcW w:type="dxa" w:w="1871"/>
            <w:shd w:fill="F2F6FA"/>
            <w:vAlign w:val="center"/>
          </w:tcPr>
          <w:p>
            <w:pPr>
              <w:spacing w:after="0" w:line="269" w:lineRule="auto"/>
            </w:pPr>
            <w:r/>
            <w:r>
              <w:rPr>
                <w:rFonts w:ascii="Noto Sans CJK SC" w:hAnsi="Noto Sans CJK SC" w:eastAsia="Noto Sans CJK SC"/>
                <w:b/>
                <w:sz w:val="17"/>
              </w:rPr>
              <w:t>复赛产品原型</w:t>
            </w:r>
          </w:p>
        </w:tc>
        <w:tc>
          <w:tcPr>
            <w:tcW w:type="dxa" w:w="4876"/>
            <w:vAlign w:val="center"/>
          </w:tcPr>
          <w:p>
            <w:pPr>
              <w:spacing w:after="0" w:line="269" w:lineRule="auto"/>
            </w:pPr>
            <w:r/>
            <w:r>
              <w:rPr>
                <w:rFonts w:ascii="Noto Sans CJK SC" w:hAnsi="Noto Sans CJK SC" w:eastAsia="Noto Sans CJK SC"/>
                <w:b w:val="0"/>
                <w:sz w:val="17"/>
              </w:rPr>
              <w:t>打通订单建档、合同审查、风险报告、人工复核和报告导出。</w:t>
            </w:r>
          </w:p>
        </w:tc>
        <w:tc>
          <w:tcPr>
            <w:tcW w:type="dxa" w:w="3288"/>
            <w:vAlign w:val="center"/>
          </w:tcPr>
          <w:p>
            <w:pPr>
              <w:spacing w:after="0" w:line="269" w:lineRule="auto"/>
            </w:pPr>
            <w:r/>
            <w:r>
              <w:rPr>
                <w:rFonts w:ascii="Noto Sans CJK SC" w:hAnsi="Noto Sans CJK SC" w:eastAsia="Noto Sans CJK SC"/>
                <w:b w:val="0"/>
                <w:sz w:val="17"/>
              </w:rPr>
              <w:t>Web Demo、风险报告、法务复核页、导出文件。</w:t>
            </w:r>
          </w:p>
        </w:tc>
      </w:tr>
      <w:tr>
        <w:tc>
          <w:tcPr>
            <w:tcW w:type="dxa" w:w="1871"/>
            <w:shd w:fill="F2F6FA"/>
            <w:vAlign w:val="center"/>
          </w:tcPr>
          <w:p>
            <w:pPr>
              <w:spacing w:after="0" w:line="269" w:lineRule="auto"/>
            </w:pPr>
            <w:r/>
            <w:r>
              <w:rPr>
                <w:rFonts w:ascii="Noto Sans CJK SC" w:hAnsi="Noto Sans CJK SC" w:eastAsia="Noto Sans CJK SC"/>
                <w:b/>
                <w:sz w:val="17"/>
              </w:rPr>
              <w:t>决赛强化产品</w:t>
            </w:r>
          </w:p>
        </w:tc>
        <w:tc>
          <w:tcPr>
            <w:tcW w:type="dxa" w:w="4876"/>
            <w:vAlign w:val="center"/>
          </w:tcPr>
          <w:p>
            <w:pPr>
              <w:spacing w:after="0" w:line="269" w:lineRule="auto"/>
            </w:pPr>
            <w:r/>
            <w:r>
              <w:rPr>
                <w:rFonts w:ascii="Noto Sans CJK SC" w:hAnsi="Noto Sans CJK SC" w:eastAsia="Noto Sans CJK SC"/>
                <w:b w:val="0"/>
                <w:sz w:val="17"/>
              </w:rPr>
              <w:t>加入履约留痕、证据时间线、更多国家风险卡和管理看板。</w:t>
            </w:r>
          </w:p>
        </w:tc>
        <w:tc>
          <w:tcPr>
            <w:tcW w:type="dxa" w:w="3288"/>
            <w:vAlign w:val="center"/>
          </w:tcPr>
          <w:p>
            <w:pPr>
              <w:spacing w:after="0" w:line="269" w:lineRule="auto"/>
            </w:pPr>
            <w:r/>
            <w:r>
              <w:rPr>
                <w:rFonts w:ascii="Noto Sans CJK SC" w:hAnsi="Noto Sans CJK SC" w:eastAsia="Noto Sans CJK SC"/>
                <w:b w:val="0"/>
                <w:sz w:val="17"/>
              </w:rPr>
              <w:t>完整工作台、演示案例、试用反馈和管理看板。</w:t>
            </w:r>
          </w:p>
        </w:tc>
      </w:tr>
      <w:tr>
        <w:tc>
          <w:tcPr>
            <w:tcW w:type="dxa" w:w="1871"/>
            <w:shd w:fill="F2F6FA"/>
            <w:vAlign w:val="center"/>
          </w:tcPr>
          <w:p>
            <w:pPr>
              <w:spacing w:after="0" w:line="269" w:lineRule="auto"/>
            </w:pPr>
            <w:r/>
            <w:r>
              <w:rPr>
                <w:rFonts w:ascii="Noto Sans CJK SC" w:hAnsi="Noto Sans CJK SC" w:eastAsia="Noto Sans CJK SC"/>
                <w:b/>
                <w:sz w:val="17"/>
              </w:rPr>
              <w:t>商业化验证</w:t>
            </w:r>
          </w:p>
        </w:tc>
        <w:tc>
          <w:tcPr>
            <w:tcW w:type="dxa" w:w="4876"/>
            <w:vAlign w:val="center"/>
          </w:tcPr>
          <w:p>
            <w:pPr>
              <w:spacing w:after="0" w:line="269" w:lineRule="auto"/>
            </w:pPr>
            <w:r/>
            <w:r>
              <w:rPr>
                <w:rFonts w:ascii="Noto Sans CJK SC" w:hAnsi="Noto Sans CJK SC" w:eastAsia="Noto Sans CJK SC"/>
                <w:b w:val="0"/>
                <w:sz w:val="17"/>
              </w:rPr>
              <w:t>连接企业客户、外贸服务机构和律所，验证付费意愿和服务模式。</w:t>
            </w:r>
          </w:p>
        </w:tc>
        <w:tc>
          <w:tcPr>
            <w:tcW w:type="dxa" w:w="3288"/>
            <w:vAlign w:val="center"/>
          </w:tcPr>
          <w:p>
            <w:pPr>
              <w:spacing w:after="0" w:line="269" w:lineRule="auto"/>
            </w:pPr>
            <w:r/>
            <w:r>
              <w:rPr>
                <w:rFonts w:ascii="Noto Sans CJK SC" w:hAnsi="Noto Sans CJK SC" w:eastAsia="Noto Sans CJK SC"/>
                <w:b w:val="0"/>
                <w:sz w:val="17"/>
              </w:rPr>
              <w:t>试点客户、行业模板、定价方案和合作渠道。</w:t>
            </w:r>
          </w:p>
        </w:tc>
      </w:tr>
    </w:tbl>
    <w:p>
      <w:pPr>
        <w:spacing w:after="40"/>
      </w:pPr>
    </w:p>
    <w:p>
      <w:pPr>
        <w:pStyle w:val="Heading1"/>
        <w:spacing w:before="200" w:after="80"/>
      </w:pPr>
      <w:r>
        <w:rPr>
          <w:rFonts w:ascii="Noto Sans CJK SC" w:hAnsi="Noto Sans CJK SC" w:eastAsia="Noto Sans CJK SC"/>
          <w:b/>
          <w:color w:val="1F4E79"/>
          <w:sz w:val="30"/>
        </w:rPr>
        <w:t>十二、需求验证与展示方案</w:t>
      </w:r>
    </w:p>
    <w:p>
      <w:pPr>
        <w:pStyle w:val="Heading2"/>
        <w:spacing w:before="120" w:after="80"/>
      </w:pPr>
      <w:r>
        <w:rPr>
          <w:rFonts w:ascii="Noto Sans CJK SC" w:hAnsi="Noto Sans CJK SC" w:eastAsia="Noto Sans CJK SC"/>
          <w:b/>
          <w:color w:val="1F4E79"/>
          <w:sz w:val="25"/>
        </w:rPr>
        <w:t>（一）需求验证方法</w:t>
      </w:r>
    </w:p>
    <w:p>
      <w:pPr>
        <w:spacing w:after="100" w:line="283" w:lineRule="auto"/>
        <w:ind w:firstLine="420"/>
      </w:pPr>
      <w:r>
        <w:rPr>
          <w:rFonts w:ascii="Noto Sans CJK SC" w:hAnsi="Noto Sans CJK SC" w:eastAsia="Noto Sans CJK SC"/>
          <w:sz w:val="21"/>
        </w:rPr>
        <w:t>初赛阶段可以通过问卷、访谈和模拟案例验证需求。访谈对象建议包括外贸业务员、跟单、外贸主管、老板、外部律师、跨境电商从业者和外贸服务机构。</w:t>
      </w:r>
    </w:p>
    <w:p>
      <w:pPr>
        <w:pStyle w:val="ListBullet"/>
        <w:spacing w:after="40" w:line="276" w:lineRule="auto"/>
        <w:ind w:left="340"/>
      </w:pPr>
      <w:r>
        <w:rPr>
          <w:rFonts w:ascii="Noto Sans CJK SC" w:hAnsi="Noto Sans CJK SC" w:eastAsia="Noto Sans CJK SC"/>
          <w:sz w:val="20"/>
        </w:rPr>
        <w:t>业务员是否经常独立处理英文合同、PO 或 PI？</w:t>
      </w:r>
    </w:p>
    <w:p>
      <w:pPr>
        <w:pStyle w:val="ListBullet"/>
        <w:spacing w:after="40" w:line="276" w:lineRule="auto"/>
        <w:ind w:left="340"/>
      </w:pPr>
      <w:r>
        <w:rPr>
          <w:rFonts w:ascii="Noto Sans CJK SC" w:hAnsi="Noto Sans CJK SC" w:eastAsia="Noto Sans CJK SC"/>
          <w:sz w:val="20"/>
        </w:rPr>
        <w:t>最担心的合同风险是付款、交货、质量、违约责任还是争议解决？</w:t>
      </w:r>
    </w:p>
    <w:p>
      <w:pPr>
        <w:pStyle w:val="ListBullet"/>
        <w:spacing w:after="40" w:line="276" w:lineRule="auto"/>
        <w:ind w:left="340"/>
      </w:pPr>
      <w:r>
        <w:rPr>
          <w:rFonts w:ascii="Noto Sans CJK SC" w:hAnsi="Noto Sans CJK SC" w:eastAsia="Noto Sans CJK SC"/>
          <w:sz w:val="20"/>
        </w:rPr>
        <w:t>公司是否有专职法务？合同审核通常由谁负责？</w:t>
      </w:r>
    </w:p>
    <w:p>
      <w:pPr>
        <w:pStyle w:val="ListBullet"/>
        <w:spacing w:after="40" w:line="276" w:lineRule="auto"/>
        <w:ind w:left="340"/>
      </w:pPr>
      <w:r>
        <w:rPr>
          <w:rFonts w:ascii="Noto Sans CJK SC" w:hAnsi="Noto Sans CJK SC" w:eastAsia="Noto Sans CJK SC"/>
          <w:sz w:val="20"/>
        </w:rPr>
        <w:t>客户拒付、质量异议或退货时，证据材料是否容易整理？</w:t>
      </w:r>
    </w:p>
    <w:p>
      <w:pPr>
        <w:pStyle w:val="ListBullet"/>
        <w:spacing w:after="40" w:line="276" w:lineRule="auto"/>
        <w:ind w:left="340"/>
      </w:pPr>
      <w:r>
        <w:rPr>
          <w:rFonts w:ascii="Noto Sans CJK SC" w:hAnsi="Noto Sans CJK SC" w:eastAsia="Noto Sans CJK SC"/>
          <w:sz w:val="20"/>
        </w:rPr>
        <w:t>如果工具能生成中文风险报告、修改建议和证据清单，是否愿意试用或付费？</w:t>
      </w:r>
    </w:p>
    <w:p>
      <w:pPr>
        <w:pStyle w:val="ListBullet"/>
        <w:spacing w:after="40" w:line="276" w:lineRule="auto"/>
        <w:ind w:left="340"/>
      </w:pPr>
      <w:r>
        <w:rPr>
          <w:rFonts w:ascii="Noto Sans CJK SC" w:hAnsi="Noto Sans CJK SC" w:eastAsia="Noto Sans CJK SC"/>
          <w:sz w:val="20"/>
        </w:rPr>
        <w:t>东南亚订单中最常见的目的国、贸易术语、付款方式和纠纷类型是什么？</w:t>
      </w:r>
    </w:p>
    <w:p>
      <w:pPr>
        <w:pStyle w:val="Heading2"/>
        <w:spacing w:before="120" w:after="80"/>
      </w:pPr>
      <w:r>
        <w:rPr>
          <w:rFonts w:ascii="Noto Sans CJK SC" w:hAnsi="Noto Sans CJK SC" w:eastAsia="Noto Sans CJK SC"/>
          <w:b/>
          <w:color w:val="1F4E79"/>
          <w:sz w:val="25"/>
        </w:rPr>
        <w:t>（二）展示材料组合</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07"/>
        <w:gridCol w:w="3307"/>
        <w:gridCol w:w="3307"/>
      </w:tblGrid>
      <w:tr>
        <w:tc>
          <w:tcPr>
            <w:tcW w:type="dxa" w:w="1928"/>
            <w:shd w:fill="D9EAF7"/>
            <w:vAlign w:val="center"/>
          </w:tcPr>
          <w:p>
            <w:pPr>
              <w:spacing w:after="0" w:line="269" w:lineRule="auto"/>
              <w:jc w:val="center"/>
            </w:pPr>
            <w:r/>
            <w:r>
              <w:rPr>
                <w:rFonts w:ascii="Noto Sans CJK SC" w:hAnsi="Noto Sans CJK SC" w:eastAsia="Noto Sans CJK SC"/>
                <w:b/>
                <w:color w:val="1F4E79"/>
                <w:sz w:val="17"/>
              </w:rPr>
              <w:t>展示材料</w:t>
            </w:r>
          </w:p>
        </w:tc>
        <w:tc>
          <w:tcPr>
            <w:tcW w:type="dxa" w:w="4535"/>
            <w:shd w:fill="D9EAF7"/>
            <w:vAlign w:val="center"/>
          </w:tcPr>
          <w:p>
            <w:pPr>
              <w:spacing w:after="0" w:line="269" w:lineRule="auto"/>
              <w:jc w:val="center"/>
            </w:pPr>
            <w:r/>
            <w:r>
              <w:rPr>
                <w:rFonts w:ascii="Noto Sans CJK SC" w:hAnsi="Noto Sans CJK SC" w:eastAsia="Noto Sans CJK SC"/>
                <w:b/>
                <w:color w:val="1F4E79"/>
                <w:sz w:val="17"/>
              </w:rPr>
              <w:t>作用</w:t>
            </w:r>
          </w:p>
        </w:tc>
        <w:tc>
          <w:tcPr>
            <w:tcW w:type="dxa" w:w="3515"/>
            <w:shd w:fill="D9EAF7"/>
            <w:vAlign w:val="center"/>
          </w:tcPr>
          <w:p>
            <w:pPr>
              <w:spacing w:after="0" w:line="269" w:lineRule="auto"/>
              <w:jc w:val="center"/>
            </w:pPr>
            <w:r/>
            <w:r>
              <w:rPr>
                <w:rFonts w:ascii="Noto Sans CJK SC" w:hAnsi="Noto Sans CJK SC" w:eastAsia="Noto Sans CJK SC"/>
                <w:b/>
                <w:color w:val="1F4E79"/>
                <w:sz w:val="17"/>
              </w:rPr>
              <w:t>建议重点</w:t>
            </w:r>
          </w:p>
        </w:tc>
      </w:tr>
      <w:tr>
        <w:tc>
          <w:tcPr>
            <w:tcW w:type="dxa" w:w="1928"/>
            <w:shd w:fill="F2F6FA"/>
            <w:vAlign w:val="center"/>
          </w:tcPr>
          <w:p>
            <w:pPr>
              <w:spacing w:after="0" w:line="269" w:lineRule="auto"/>
            </w:pPr>
            <w:r/>
            <w:r>
              <w:rPr>
                <w:rFonts w:ascii="Noto Sans CJK SC" w:hAnsi="Noto Sans CJK SC" w:eastAsia="Noto Sans CJK SC"/>
                <w:b/>
                <w:sz w:val="17"/>
              </w:rPr>
              <w:t>创意方案文书</w:t>
            </w:r>
          </w:p>
        </w:tc>
        <w:tc>
          <w:tcPr>
            <w:tcW w:type="dxa" w:w="4535"/>
            <w:vAlign w:val="center"/>
          </w:tcPr>
          <w:p>
            <w:pPr>
              <w:spacing w:after="0" w:line="269" w:lineRule="auto"/>
            </w:pPr>
            <w:r/>
            <w:r>
              <w:rPr>
                <w:rFonts w:ascii="Noto Sans CJK SC" w:hAnsi="Noto Sans CJK SC" w:eastAsia="Noto Sans CJK SC"/>
                <w:b w:val="0"/>
                <w:sz w:val="17"/>
              </w:rPr>
              <w:t>说明项目定位、用户场景、技术路径、合规边界、价值和发展潜力。</w:t>
            </w:r>
          </w:p>
        </w:tc>
        <w:tc>
          <w:tcPr>
            <w:tcW w:type="dxa" w:w="3515"/>
            <w:vAlign w:val="center"/>
          </w:tcPr>
          <w:p>
            <w:pPr>
              <w:spacing w:after="0" w:line="269" w:lineRule="auto"/>
            </w:pPr>
            <w:r/>
            <w:r>
              <w:rPr>
                <w:rFonts w:ascii="Noto Sans CJK SC" w:hAnsi="Noto Sans CJK SC" w:eastAsia="Noto Sans CJK SC"/>
                <w:b w:val="0"/>
                <w:sz w:val="17"/>
              </w:rPr>
              <w:t>突出 MVP 聚焦和东南亚个性化。</w:t>
            </w:r>
          </w:p>
        </w:tc>
      </w:tr>
      <w:tr>
        <w:tc>
          <w:tcPr>
            <w:tcW w:type="dxa" w:w="1928"/>
            <w:shd w:fill="F2F6FA"/>
            <w:vAlign w:val="center"/>
          </w:tcPr>
          <w:p>
            <w:pPr>
              <w:spacing w:after="0" w:line="269" w:lineRule="auto"/>
            </w:pPr>
            <w:r/>
            <w:r>
              <w:rPr>
                <w:rFonts w:ascii="Noto Sans CJK SC" w:hAnsi="Noto Sans CJK SC" w:eastAsia="Noto Sans CJK SC"/>
                <w:b/>
                <w:sz w:val="17"/>
              </w:rPr>
              <w:t>产品流程图</w:t>
            </w:r>
          </w:p>
        </w:tc>
        <w:tc>
          <w:tcPr>
            <w:tcW w:type="dxa" w:w="4535"/>
            <w:vAlign w:val="center"/>
          </w:tcPr>
          <w:p>
            <w:pPr>
              <w:spacing w:after="0" w:line="269" w:lineRule="auto"/>
            </w:pPr>
            <w:r/>
            <w:r>
              <w:rPr>
                <w:rFonts w:ascii="Noto Sans CJK SC" w:hAnsi="Noto Sans CJK SC" w:eastAsia="Noto Sans CJK SC"/>
                <w:b w:val="0"/>
                <w:sz w:val="17"/>
              </w:rPr>
              <w:t>展示信息输入、AI 分析、报告输出、人工复核、履约留痕和证据包导出的闭环。</w:t>
            </w:r>
          </w:p>
        </w:tc>
        <w:tc>
          <w:tcPr>
            <w:tcW w:type="dxa" w:w="3515"/>
            <w:vAlign w:val="center"/>
          </w:tcPr>
          <w:p>
            <w:pPr>
              <w:spacing w:after="0" w:line="269" w:lineRule="auto"/>
            </w:pPr>
            <w:r/>
            <w:r>
              <w:rPr>
                <w:rFonts w:ascii="Noto Sans CJK SC" w:hAnsi="Noto Sans CJK SC" w:eastAsia="Noto Sans CJK SC"/>
                <w:b w:val="0"/>
                <w:sz w:val="17"/>
              </w:rPr>
              <w:t>流程不要过多，围绕一个订单空间展开。</w:t>
            </w:r>
          </w:p>
        </w:tc>
      </w:tr>
      <w:tr>
        <w:tc>
          <w:tcPr>
            <w:tcW w:type="dxa" w:w="1928"/>
            <w:shd w:fill="F2F6FA"/>
            <w:vAlign w:val="center"/>
          </w:tcPr>
          <w:p>
            <w:pPr>
              <w:spacing w:after="0" w:line="269" w:lineRule="auto"/>
            </w:pPr>
            <w:r/>
            <w:r>
              <w:rPr>
                <w:rFonts w:ascii="Noto Sans CJK SC" w:hAnsi="Noto Sans CJK SC" w:eastAsia="Noto Sans CJK SC"/>
                <w:b/>
                <w:sz w:val="17"/>
              </w:rPr>
              <w:t>原型界面</w:t>
            </w:r>
          </w:p>
        </w:tc>
        <w:tc>
          <w:tcPr>
            <w:tcW w:type="dxa" w:w="4535"/>
            <w:vAlign w:val="center"/>
          </w:tcPr>
          <w:p>
            <w:pPr>
              <w:spacing w:after="0" w:line="269" w:lineRule="auto"/>
            </w:pPr>
            <w:r/>
            <w:r>
              <w:rPr>
                <w:rFonts w:ascii="Noto Sans CJK SC" w:hAnsi="Noto Sans CJK SC" w:eastAsia="Noto Sans CJK SC"/>
                <w:b w:val="0"/>
                <w:sz w:val="17"/>
              </w:rPr>
              <w:t>展示业务员端、法务复核端、负责人摘要和证据时间线。</w:t>
            </w:r>
          </w:p>
        </w:tc>
        <w:tc>
          <w:tcPr>
            <w:tcW w:type="dxa" w:w="3515"/>
            <w:vAlign w:val="center"/>
          </w:tcPr>
          <w:p>
            <w:pPr>
              <w:spacing w:after="0" w:line="269" w:lineRule="auto"/>
            </w:pPr>
            <w:r/>
            <w:r>
              <w:rPr>
                <w:rFonts w:ascii="Noto Sans CJK SC" w:hAnsi="Noto Sans CJK SC" w:eastAsia="Noto Sans CJK SC"/>
                <w:b w:val="0"/>
                <w:sz w:val="17"/>
              </w:rPr>
              <w:t>以风险报告页作为核心页面。</w:t>
            </w:r>
          </w:p>
        </w:tc>
      </w:tr>
      <w:tr>
        <w:tc>
          <w:tcPr>
            <w:tcW w:type="dxa" w:w="1928"/>
            <w:shd w:fill="F2F6FA"/>
            <w:vAlign w:val="center"/>
          </w:tcPr>
          <w:p>
            <w:pPr>
              <w:spacing w:after="0" w:line="269" w:lineRule="auto"/>
            </w:pPr>
            <w:r/>
            <w:r>
              <w:rPr>
                <w:rFonts w:ascii="Noto Sans CJK SC" w:hAnsi="Noto Sans CJK SC" w:eastAsia="Noto Sans CJK SC"/>
                <w:b/>
                <w:sz w:val="17"/>
              </w:rPr>
              <w:t>样例报告</w:t>
            </w:r>
          </w:p>
        </w:tc>
        <w:tc>
          <w:tcPr>
            <w:tcW w:type="dxa" w:w="4535"/>
            <w:vAlign w:val="center"/>
          </w:tcPr>
          <w:p>
            <w:pPr>
              <w:spacing w:after="0" w:line="269" w:lineRule="auto"/>
            </w:pPr>
            <w:r/>
            <w:r>
              <w:rPr>
                <w:rFonts w:ascii="Noto Sans CJK SC" w:hAnsi="Noto Sans CJK SC" w:eastAsia="Noto Sans CJK SC"/>
                <w:b w:val="0"/>
                <w:sz w:val="17"/>
              </w:rPr>
              <w:t>展示英文条款如何转化为中文风险解释、修改建议和复核事项。</w:t>
            </w:r>
          </w:p>
        </w:tc>
        <w:tc>
          <w:tcPr>
            <w:tcW w:type="dxa" w:w="3515"/>
            <w:vAlign w:val="center"/>
          </w:tcPr>
          <w:p>
            <w:pPr>
              <w:spacing w:after="0" w:line="269" w:lineRule="auto"/>
            </w:pPr>
            <w:r/>
            <w:r>
              <w:rPr>
                <w:rFonts w:ascii="Noto Sans CJK SC" w:hAnsi="Noto Sans CJK SC" w:eastAsia="Noto Sans CJK SC"/>
                <w:b w:val="0"/>
                <w:sz w:val="17"/>
              </w:rPr>
              <w:t>作为初赛最重要的可见成果。</w:t>
            </w:r>
          </w:p>
        </w:tc>
      </w:tr>
      <w:tr>
        <w:tc>
          <w:tcPr>
            <w:tcW w:type="dxa" w:w="1928"/>
            <w:shd w:fill="F2F6FA"/>
            <w:vAlign w:val="center"/>
          </w:tcPr>
          <w:p>
            <w:pPr>
              <w:spacing w:after="0" w:line="269" w:lineRule="auto"/>
            </w:pPr>
            <w:r/>
            <w:r>
              <w:rPr>
                <w:rFonts w:ascii="Noto Sans CJK SC" w:hAnsi="Noto Sans CJK SC" w:eastAsia="Noto Sans CJK SC"/>
                <w:b/>
                <w:sz w:val="17"/>
              </w:rPr>
              <w:t>问卷与访谈摘要</w:t>
            </w:r>
          </w:p>
        </w:tc>
        <w:tc>
          <w:tcPr>
            <w:tcW w:type="dxa" w:w="4535"/>
            <w:vAlign w:val="center"/>
          </w:tcPr>
          <w:p>
            <w:pPr>
              <w:spacing w:after="0" w:line="269" w:lineRule="auto"/>
            </w:pPr>
            <w:r/>
            <w:r>
              <w:rPr>
                <w:rFonts w:ascii="Noto Sans CJK SC" w:hAnsi="Noto Sans CJK SC" w:eastAsia="Noto Sans CJK SC"/>
                <w:b w:val="0"/>
                <w:sz w:val="17"/>
              </w:rPr>
              <w:t>证明问题来自真实外贸业务场景。</w:t>
            </w:r>
          </w:p>
        </w:tc>
        <w:tc>
          <w:tcPr>
            <w:tcW w:type="dxa" w:w="3515"/>
            <w:vAlign w:val="center"/>
          </w:tcPr>
          <w:p>
            <w:pPr>
              <w:spacing w:after="0" w:line="269" w:lineRule="auto"/>
            </w:pPr>
            <w:r/>
            <w:r>
              <w:rPr>
                <w:rFonts w:ascii="Noto Sans CJK SC" w:hAnsi="Noto Sans CJK SC" w:eastAsia="Noto Sans CJK SC"/>
                <w:b w:val="0"/>
                <w:sz w:val="17"/>
              </w:rPr>
              <w:t>整理 3-5 条典型原话和痛点数据。</w:t>
            </w:r>
          </w:p>
        </w:tc>
      </w:tr>
    </w:tbl>
    <w:p>
      <w:pPr>
        <w:spacing w:after="40"/>
      </w:pPr>
    </w:p>
    <w:p>
      <w:pPr>
        <w:pStyle w:val="Heading2"/>
        <w:spacing w:before="120" w:after="80"/>
      </w:pPr>
      <w:r>
        <w:rPr>
          <w:rFonts w:ascii="Noto Sans CJK SC" w:hAnsi="Noto Sans CJK SC" w:eastAsia="Noto Sans CJK SC"/>
          <w:b/>
          <w:color w:val="1F4E79"/>
          <w:sz w:val="25"/>
        </w:rPr>
        <w:t>（三）答辩表达建议</w:t>
      </w:r>
    </w:p>
    <w:p>
      <w:pPr>
        <w:spacing w:after="100" w:line="283" w:lineRule="auto"/>
        <w:ind w:firstLine="420"/>
      </w:pPr>
      <w:r>
        <w:rPr>
          <w:rFonts w:ascii="Noto Sans CJK SC" w:hAnsi="Noto Sans CJK SC" w:eastAsia="Noto Sans CJK SC"/>
          <w:sz w:val="21"/>
        </w:rPr>
        <w:t>答辩时不要把重点放在“我们可以接入很多 API、覆盖很多国家、做很多法律服务”，而应重点讲一个可验证故事：一个中国中小外贸企业准备出口东南亚，业务员收到英文 PO 后无法判断条款风险，于是把 PO 和 PI 导入 TradeLaw AI；系统抽取关键字段，识别尾款、验货、争议解决和证据缺口；法务复核红色风险；老板看负责人摘要做决策；最后导出报告留档。</w:t>
      </w:r>
    </w:p>
    <w:p>
      <w:pPr>
        <w:pStyle w:val="Heading1"/>
        <w:spacing w:before="200" w:after="80"/>
      </w:pPr>
      <w:r>
        <w:rPr>
          <w:rFonts w:ascii="Noto Sans CJK SC" w:hAnsi="Noto Sans CJK SC" w:eastAsia="Noto Sans CJK SC"/>
          <w:b/>
          <w:color w:val="1F4E79"/>
          <w:sz w:val="30"/>
        </w:rPr>
        <w:t>十三、样例报告摘要</w:t>
      </w:r>
    </w:p>
    <w:p>
      <w:pPr>
        <w:spacing w:after="100" w:line="283" w:lineRule="auto"/>
        <w:ind w:firstLine="420"/>
      </w:pPr>
      <w:r>
        <w:rPr>
          <w:rFonts w:ascii="Noto Sans CJK SC" w:hAnsi="Noto Sans CJK SC" w:eastAsia="Noto Sans CJK SC"/>
          <w:sz w:val="21"/>
        </w:rPr>
        <w:t>以下为“越南买方 PO 案例”的报告摘要示例，可作为初赛原型或样例报告的核心内容。</w:t>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61"/>
        <w:gridCol w:w="4961"/>
      </w:tblGrid>
      <w:tr>
        <w:tc>
          <w:tcPr>
            <w:tcW w:type="dxa" w:w="2154"/>
            <w:shd w:fill="D9EAF7"/>
            <w:vAlign w:val="center"/>
          </w:tcPr>
          <w:p>
            <w:pPr>
              <w:spacing w:after="0" w:line="269" w:lineRule="auto"/>
              <w:jc w:val="center"/>
            </w:pPr>
            <w:r/>
            <w:r>
              <w:rPr>
                <w:rFonts w:ascii="Noto Sans CJK SC" w:hAnsi="Noto Sans CJK SC" w:eastAsia="Noto Sans CJK SC"/>
                <w:b/>
                <w:color w:val="1F4E79"/>
                <w:sz w:val="17"/>
              </w:rPr>
              <w:t>订单信息</w:t>
            </w:r>
          </w:p>
        </w:tc>
        <w:tc>
          <w:tcPr>
            <w:tcW w:type="dxa" w:w="7824"/>
            <w:shd w:fill="D9EAF7"/>
            <w:vAlign w:val="center"/>
          </w:tcPr>
          <w:p>
            <w:pPr>
              <w:spacing w:after="0" w:line="269" w:lineRule="auto"/>
              <w:jc w:val="center"/>
            </w:pPr>
            <w:r/>
            <w:r>
              <w:rPr>
                <w:rFonts w:ascii="Noto Sans CJK SC" w:hAnsi="Noto Sans CJK SC" w:eastAsia="Noto Sans CJK SC"/>
                <w:b/>
                <w:color w:val="1F4E79"/>
                <w:sz w:val="17"/>
              </w:rPr>
              <w:t>示例内容</w:t>
            </w:r>
          </w:p>
        </w:tc>
      </w:tr>
      <w:tr>
        <w:tc>
          <w:tcPr>
            <w:tcW w:type="dxa" w:w="2154"/>
            <w:shd w:fill="F2F6FA"/>
            <w:vAlign w:val="center"/>
          </w:tcPr>
          <w:p>
            <w:pPr>
              <w:spacing w:after="0" w:line="269" w:lineRule="auto"/>
            </w:pPr>
            <w:r/>
            <w:r>
              <w:rPr>
                <w:rFonts w:ascii="Noto Sans CJK SC" w:hAnsi="Noto Sans CJK SC" w:eastAsia="Noto Sans CJK SC"/>
                <w:b/>
                <w:sz w:val="17"/>
              </w:rPr>
              <w:t>买方</w:t>
            </w:r>
          </w:p>
        </w:tc>
        <w:tc>
          <w:tcPr>
            <w:tcW w:type="dxa" w:w="7824"/>
            <w:vAlign w:val="center"/>
          </w:tcPr>
          <w:p>
            <w:pPr>
              <w:spacing w:after="0" w:line="269" w:lineRule="auto"/>
            </w:pPr>
            <w:r/>
            <w:r>
              <w:rPr>
                <w:rFonts w:ascii="Noto Sans CJK SC" w:hAnsi="Noto Sans CJK SC" w:eastAsia="Noto Sans CJK SC"/>
                <w:b w:val="0"/>
                <w:sz w:val="17"/>
              </w:rPr>
              <w:t>Vietnam Buyer Co., Ltd.（模拟）</w:t>
            </w:r>
          </w:p>
        </w:tc>
      </w:tr>
      <w:tr>
        <w:tc>
          <w:tcPr>
            <w:tcW w:type="dxa" w:w="2154"/>
            <w:shd w:fill="F2F6FA"/>
            <w:vAlign w:val="center"/>
          </w:tcPr>
          <w:p>
            <w:pPr>
              <w:spacing w:after="0" w:line="269" w:lineRule="auto"/>
            </w:pPr>
            <w:r/>
            <w:r>
              <w:rPr>
                <w:rFonts w:ascii="Noto Sans CJK SC" w:hAnsi="Noto Sans CJK SC" w:eastAsia="Noto Sans CJK SC"/>
                <w:b/>
                <w:sz w:val="17"/>
              </w:rPr>
              <w:t>卖方</w:t>
            </w:r>
          </w:p>
        </w:tc>
        <w:tc>
          <w:tcPr>
            <w:tcW w:type="dxa" w:w="7824"/>
            <w:vAlign w:val="center"/>
          </w:tcPr>
          <w:p>
            <w:pPr>
              <w:spacing w:after="0" w:line="269" w:lineRule="auto"/>
            </w:pPr>
            <w:r/>
            <w:r>
              <w:rPr>
                <w:rFonts w:ascii="Noto Sans CJK SC" w:hAnsi="Noto Sans CJK SC" w:eastAsia="Noto Sans CJK SC"/>
                <w:b w:val="0"/>
                <w:sz w:val="17"/>
              </w:rPr>
              <w:t>China Exporter Co., Ltd.（模拟）</w:t>
            </w:r>
          </w:p>
        </w:tc>
      </w:tr>
      <w:tr>
        <w:tc>
          <w:tcPr>
            <w:tcW w:type="dxa" w:w="2154"/>
            <w:shd w:fill="F2F6FA"/>
            <w:vAlign w:val="center"/>
          </w:tcPr>
          <w:p>
            <w:pPr>
              <w:spacing w:after="0" w:line="269" w:lineRule="auto"/>
            </w:pPr>
            <w:r/>
            <w:r>
              <w:rPr>
                <w:rFonts w:ascii="Noto Sans CJK SC" w:hAnsi="Noto Sans CJK SC" w:eastAsia="Noto Sans CJK SC"/>
                <w:b/>
                <w:sz w:val="17"/>
              </w:rPr>
              <w:t>产品</w:t>
            </w:r>
          </w:p>
        </w:tc>
        <w:tc>
          <w:tcPr>
            <w:tcW w:type="dxa" w:w="7824"/>
            <w:vAlign w:val="center"/>
          </w:tcPr>
          <w:p>
            <w:pPr>
              <w:spacing w:after="0" w:line="269" w:lineRule="auto"/>
            </w:pPr>
            <w:r/>
            <w:r>
              <w:rPr>
                <w:rFonts w:ascii="Noto Sans CJK SC" w:hAnsi="Noto Sans CJK SC" w:eastAsia="Noto Sans CJK SC"/>
                <w:b w:val="0"/>
                <w:sz w:val="17"/>
              </w:rPr>
              <w:t>Packaging products / consumer goods（模拟）</w:t>
            </w:r>
          </w:p>
        </w:tc>
      </w:tr>
      <w:tr>
        <w:tc>
          <w:tcPr>
            <w:tcW w:type="dxa" w:w="2154"/>
            <w:shd w:fill="F2F6FA"/>
            <w:vAlign w:val="center"/>
          </w:tcPr>
          <w:p>
            <w:pPr>
              <w:spacing w:after="0" w:line="269" w:lineRule="auto"/>
            </w:pPr>
            <w:r/>
            <w:r>
              <w:rPr>
                <w:rFonts w:ascii="Noto Sans CJK SC" w:hAnsi="Noto Sans CJK SC" w:eastAsia="Noto Sans CJK SC"/>
                <w:b/>
                <w:sz w:val="17"/>
              </w:rPr>
              <w:t>金额</w:t>
            </w:r>
          </w:p>
        </w:tc>
        <w:tc>
          <w:tcPr>
            <w:tcW w:type="dxa" w:w="7824"/>
            <w:vAlign w:val="center"/>
          </w:tcPr>
          <w:p>
            <w:pPr>
              <w:spacing w:after="0" w:line="269" w:lineRule="auto"/>
            </w:pPr>
            <w:r/>
            <w:r>
              <w:rPr>
                <w:rFonts w:ascii="Noto Sans CJK SC" w:hAnsi="Noto Sans CJK SC" w:eastAsia="Noto Sans CJK SC"/>
                <w:b w:val="0"/>
                <w:sz w:val="17"/>
              </w:rPr>
              <w:t>USD 48,000</w:t>
            </w:r>
          </w:p>
        </w:tc>
      </w:tr>
      <w:tr>
        <w:tc>
          <w:tcPr>
            <w:tcW w:type="dxa" w:w="2154"/>
            <w:shd w:fill="F2F6FA"/>
            <w:vAlign w:val="center"/>
          </w:tcPr>
          <w:p>
            <w:pPr>
              <w:spacing w:after="0" w:line="269" w:lineRule="auto"/>
            </w:pPr>
            <w:r/>
            <w:r>
              <w:rPr>
                <w:rFonts w:ascii="Noto Sans CJK SC" w:hAnsi="Noto Sans CJK SC" w:eastAsia="Noto Sans CJK SC"/>
                <w:b/>
                <w:sz w:val="17"/>
              </w:rPr>
              <w:t>目的国</w:t>
            </w:r>
          </w:p>
        </w:tc>
        <w:tc>
          <w:tcPr>
            <w:tcW w:type="dxa" w:w="7824"/>
            <w:vAlign w:val="center"/>
          </w:tcPr>
          <w:p>
            <w:pPr>
              <w:spacing w:after="0" w:line="269" w:lineRule="auto"/>
            </w:pPr>
            <w:r/>
            <w:r>
              <w:rPr>
                <w:rFonts w:ascii="Noto Sans CJK SC" w:hAnsi="Noto Sans CJK SC" w:eastAsia="Noto Sans CJK SC"/>
                <w:b w:val="0"/>
                <w:sz w:val="17"/>
              </w:rPr>
              <w:t>越南</w:t>
            </w:r>
          </w:p>
        </w:tc>
      </w:tr>
      <w:tr>
        <w:tc>
          <w:tcPr>
            <w:tcW w:type="dxa" w:w="2154"/>
            <w:shd w:fill="F2F6FA"/>
            <w:vAlign w:val="center"/>
          </w:tcPr>
          <w:p>
            <w:pPr>
              <w:spacing w:after="0" w:line="269" w:lineRule="auto"/>
            </w:pPr>
            <w:r/>
            <w:r>
              <w:rPr>
                <w:rFonts w:ascii="Noto Sans CJK SC" w:hAnsi="Noto Sans CJK SC" w:eastAsia="Noto Sans CJK SC"/>
                <w:b/>
                <w:sz w:val="17"/>
              </w:rPr>
              <w:t>贸易术语</w:t>
            </w:r>
          </w:p>
        </w:tc>
        <w:tc>
          <w:tcPr>
            <w:tcW w:type="dxa" w:w="7824"/>
            <w:vAlign w:val="center"/>
          </w:tcPr>
          <w:p>
            <w:pPr>
              <w:spacing w:after="0" w:line="269" w:lineRule="auto"/>
            </w:pPr>
            <w:r/>
            <w:r>
              <w:rPr>
                <w:rFonts w:ascii="Noto Sans CJK SC" w:hAnsi="Noto Sans CJK SC" w:eastAsia="Noto Sans CJK SC"/>
                <w:b w:val="0"/>
                <w:sz w:val="17"/>
              </w:rPr>
              <w:t>FOB Shanghai（模拟）</w:t>
            </w:r>
          </w:p>
        </w:tc>
      </w:tr>
      <w:tr>
        <w:tc>
          <w:tcPr>
            <w:tcW w:type="dxa" w:w="2154"/>
            <w:shd w:fill="F2F6FA"/>
            <w:vAlign w:val="center"/>
          </w:tcPr>
          <w:p>
            <w:pPr>
              <w:spacing w:after="0" w:line="269" w:lineRule="auto"/>
            </w:pPr>
            <w:r/>
            <w:r>
              <w:rPr>
                <w:rFonts w:ascii="Noto Sans CJK SC" w:hAnsi="Noto Sans CJK SC" w:eastAsia="Noto Sans CJK SC"/>
                <w:b/>
                <w:sz w:val="17"/>
              </w:rPr>
              <w:t>付款条款</w:t>
            </w:r>
          </w:p>
        </w:tc>
        <w:tc>
          <w:tcPr>
            <w:tcW w:type="dxa" w:w="7824"/>
            <w:vAlign w:val="center"/>
          </w:tcPr>
          <w:p>
            <w:pPr>
              <w:spacing w:after="0" w:line="269" w:lineRule="auto"/>
            </w:pPr>
            <w:r/>
            <w:r>
              <w:rPr>
                <w:rFonts w:ascii="Noto Sans CJK SC" w:hAnsi="Noto Sans CJK SC" w:eastAsia="Noto Sans CJK SC"/>
                <w:b w:val="0"/>
                <w:sz w:val="17"/>
              </w:rPr>
              <w:t>30% deposit, 70% balance paid after arrival and buyer inspection.</w:t>
            </w:r>
          </w:p>
        </w:tc>
      </w:tr>
      <w:tr>
        <w:tc>
          <w:tcPr>
            <w:tcW w:type="dxa" w:w="2154"/>
            <w:shd w:fill="F2F6FA"/>
            <w:vAlign w:val="center"/>
          </w:tcPr>
          <w:p>
            <w:pPr>
              <w:spacing w:after="0" w:line="269" w:lineRule="auto"/>
            </w:pPr>
            <w:r/>
            <w:r>
              <w:rPr>
                <w:rFonts w:ascii="Noto Sans CJK SC" w:hAnsi="Noto Sans CJK SC" w:eastAsia="Noto Sans CJK SC"/>
                <w:b/>
                <w:sz w:val="17"/>
              </w:rPr>
              <w:t>材料</w:t>
            </w:r>
          </w:p>
        </w:tc>
        <w:tc>
          <w:tcPr>
            <w:tcW w:type="dxa" w:w="7824"/>
            <w:vAlign w:val="center"/>
          </w:tcPr>
          <w:p>
            <w:pPr>
              <w:spacing w:after="0" w:line="269" w:lineRule="auto"/>
            </w:pPr>
            <w:r/>
            <w:r>
              <w:rPr>
                <w:rFonts w:ascii="Noto Sans CJK SC" w:hAnsi="Noto Sans CJK SC" w:eastAsia="Noto Sans CJK SC"/>
                <w:b w:val="0"/>
                <w:sz w:val="17"/>
              </w:rPr>
              <w:t>PO、PI、邮件摘要、装箱单草稿、质检报告草稿。</w:t>
            </w:r>
          </w:p>
        </w:tc>
      </w:tr>
    </w:tbl>
    <w:p>
      <w:pPr>
        <w:spacing w:after="40"/>
      </w:pPr>
    </w:p>
    <w:p>
      <w:r>
        <w:br w:type="page"/>
      </w:r>
    </w:p>
    <w:tbl>
      <w:tblPr>
        <w:tblStyle w:val="TableGrid"/>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80"/>
        <w:gridCol w:w="2480"/>
        <w:gridCol w:w="2480"/>
        <w:gridCol w:w="2480"/>
      </w:tblGrid>
      <w:tr>
        <w:tc>
          <w:tcPr>
            <w:tcW w:type="dxa" w:w="1247"/>
            <w:shd w:fill="D9EAF7"/>
            <w:vAlign w:val="center"/>
          </w:tcPr>
          <w:p>
            <w:pPr>
              <w:spacing w:after="0" w:line="269" w:lineRule="auto"/>
              <w:jc w:val="center"/>
            </w:pPr>
            <w:r/>
            <w:r>
              <w:rPr>
                <w:rFonts w:ascii="Noto Sans CJK SC" w:hAnsi="Noto Sans CJK SC" w:eastAsia="Noto Sans CJK SC"/>
                <w:b/>
                <w:color w:val="1F4E79"/>
                <w:sz w:val="15"/>
              </w:rPr>
              <w:t>风险等级</w:t>
            </w:r>
          </w:p>
        </w:tc>
        <w:tc>
          <w:tcPr>
            <w:tcW w:type="dxa" w:w="2721"/>
            <w:shd w:fill="D9EAF7"/>
            <w:vAlign w:val="center"/>
          </w:tcPr>
          <w:p>
            <w:pPr>
              <w:spacing w:after="0" w:line="269" w:lineRule="auto"/>
              <w:jc w:val="center"/>
            </w:pPr>
            <w:r/>
            <w:r>
              <w:rPr>
                <w:rFonts w:ascii="Noto Sans CJK SC" w:hAnsi="Noto Sans CJK SC" w:eastAsia="Noto Sans CJK SC"/>
                <w:b/>
                <w:color w:val="1F4E79"/>
                <w:sz w:val="15"/>
              </w:rPr>
              <w:t>命中条款/事实</w:t>
            </w:r>
          </w:p>
        </w:tc>
        <w:tc>
          <w:tcPr>
            <w:tcW w:type="dxa" w:w="3288"/>
            <w:shd w:fill="D9EAF7"/>
            <w:vAlign w:val="center"/>
          </w:tcPr>
          <w:p>
            <w:pPr>
              <w:spacing w:after="0" w:line="269" w:lineRule="auto"/>
              <w:jc w:val="center"/>
            </w:pPr>
            <w:r/>
            <w:r>
              <w:rPr>
                <w:rFonts w:ascii="Noto Sans CJK SC" w:hAnsi="Noto Sans CJK SC" w:eastAsia="Noto Sans CJK SC"/>
                <w:b/>
                <w:color w:val="1F4E79"/>
                <w:sz w:val="15"/>
              </w:rPr>
              <w:t>风险解释</w:t>
            </w:r>
          </w:p>
        </w:tc>
        <w:tc>
          <w:tcPr>
            <w:tcW w:type="dxa" w:w="3118"/>
            <w:shd w:fill="D9EAF7"/>
            <w:vAlign w:val="center"/>
          </w:tcPr>
          <w:p>
            <w:pPr>
              <w:spacing w:after="0" w:line="269" w:lineRule="auto"/>
              <w:jc w:val="center"/>
            </w:pPr>
            <w:r/>
            <w:r>
              <w:rPr>
                <w:rFonts w:ascii="Noto Sans CJK SC" w:hAnsi="Noto Sans CJK SC" w:eastAsia="Noto Sans CJK SC"/>
                <w:b/>
                <w:color w:val="1F4E79"/>
                <w:sz w:val="15"/>
              </w:rPr>
              <w:t>建议</w:t>
            </w:r>
          </w:p>
        </w:tc>
      </w:tr>
      <w:tr>
        <w:tc>
          <w:tcPr>
            <w:tcW w:type="dxa" w:w="1247"/>
            <w:shd w:fill="F2F6FA"/>
            <w:vAlign w:val="center"/>
          </w:tcPr>
          <w:p>
            <w:pPr>
              <w:spacing w:after="0" w:line="269" w:lineRule="auto"/>
            </w:pPr>
            <w:r/>
            <w:r>
              <w:rPr>
                <w:rFonts w:ascii="Noto Sans CJK SC" w:hAnsi="Noto Sans CJK SC" w:eastAsia="Noto Sans CJK SC"/>
                <w:b/>
                <w:sz w:val="15"/>
              </w:rPr>
              <w:t>红色</w:t>
            </w:r>
          </w:p>
        </w:tc>
        <w:tc>
          <w:tcPr>
            <w:tcW w:type="dxa" w:w="2721"/>
            <w:vAlign w:val="center"/>
          </w:tcPr>
          <w:p>
            <w:pPr>
              <w:spacing w:after="0" w:line="269" w:lineRule="auto"/>
            </w:pPr>
            <w:r/>
            <w:r>
              <w:rPr>
                <w:rFonts w:ascii="Noto Sans CJK SC" w:hAnsi="Noto Sans CJK SC" w:eastAsia="Noto Sans CJK SC"/>
                <w:b w:val="0"/>
                <w:sz w:val="15"/>
              </w:rPr>
              <w:t>70% balance paid after arrival and buyer inspection.</w:t>
            </w:r>
          </w:p>
        </w:tc>
        <w:tc>
          <w:tcPr>
            <w:tcW w:type="dxa" w:w="3288"/>
            <w:vAlign w:val="center"/>
          </w:tcPr>
          <w:p>
            <w:pPr>
              <w:spacing w:after="0" w:line="269" w:lineRule="auto"/>
            </w:pPr>
            <w:r/>
            <w:r>
              <w:rPr>
                <w:rFonts w:ascii="Noto Sans CJK SC" w:hAnsi="Noto Sans CJK SC" w:eastAsia="Noto Sans CJK SC"/>
                <w:b w:val="0"/>
                <w:sz w:val="15"/>
              </w:rPr>
              <w:t>尾款与到港和买方验收绑定，货物离境后卖方控制力降低，买方拒付时追偿成本较高。</w:t>
            </w:r>
          </w:p>
        </w:tc>
        <w:tc>
          <w:tcPr>
            <w:tcW w:type="dxa" w:w="3118"/>
            <w:vAlign w:val="center"/>
          </w:tcPr>
          <w:p>
            <w:pPr>
              <w:spacing w:after="0" w:line="269" w:lineRule="auto"/>
            </w:pPr>
            <w:r/>
            <w:r>
              <w:rPr>
                <w:rFonts w:ascii="Noto Sans CJK SC" w:hAnsi="Noto Sans CJK SC" w:eastAsia="Noto Sans CJK SC"/>
                <w:b w:val="0"/>
                <w:sz w:val="15"/>
              </w:rPr>
              <w:t>建议改为发货前付清尾款、凭提单副本付款或信用证付款；至少补充逾期付款责任和验收期限。</w:t>
            </w:r>
          </w:p>
        </w:tc>
      </w:tr>
      <w:tr>
        <w:tc>
          <w:tcPr>
            <w:tcW w:type="dxa" w:w="1247"/>
            <w:shd w:fill="F2F6FA"/>
            <w:vAlign w:val="center"/>
          </w:tcPr>
          <w:p>
            <w:pPr>
              <w:spacing w:after="0" w:line="269" w:lineRule="auto"/>
            </w:pPr>
            <w:r/>
            <w:r>
              <w:rPr>
                <w:rFonts w:ascii="Noto Sans CJK SC" w:hAnsi="Noto Sans CJK SC" w:eastAsia="Noto Sans CJK SC"/>
                <w:b/>
                <w:sz w:val="15"/>
              </w:rPr>
              <w:t>黄色</w:t>
            </w:r>
          </w:p>
        </w:tc>
        <w:tc>
          <w:tcPr>
            <w:tcW w:type="dxa" w:w="2721"/>
            <w:vAlign w:val="center"/>
          </w:tcPr>
          <w:p>
            <w:pPr>
              <w:spacing w:after="0" w:line="269" w:lineRule="auto"/>
            </w:pPr>
            <w:r/>
            <w:r>
              <w:rPr>
                <w:rFonts w:ascii="Noto Sans CJK SC" w:hAnsi="Noto Sans CJK SC" w:eastAsia="Noto Sans CJK SC"/>
                <w:b w:val="0"/>
                <w:sz w:val="15"/>
              </w:rPr>
              <w:t>Inspection after arrival，未明确验货期限和异议方式。</w:t>
            </w:r>
          </w:p>
        </w:tc>
        <w:tc>
          <w:tcPr>
            <w:tcW w:type="dxa" w:w="3288"/>
            <w:vAlign w:val="center"/>
          </w:tcPr>
          <w:p>
            <w:pPr>
              <w:spacing w:after="0" w:line="269" w:lineRule="auto"/>
            </w:pPr>
            <w:r/>
            <w:r>
              <w:rPr>
                <w:rFonts w:ascii="Noto Sans CJK SC" w:hAnsi="Noto Sans CJK SC" w:eastAsia="Noto Sans CJK SC"/>
                <w:b w:val="0"/>
                <w:sz w:val="15"/>
              </w:rPr>
              <w:t>买方可能在较长时间后提出质量异议，影响尾款回收。</w:t>
            </w:r>
          </w:p>
        </w:tc>
        <w:tc>
          <w:tcPr>
            <w:tcW w:type="dxa" w:w="3118"/>
            <w:vAlign w:val="center"/>
          </w:tcPr>
          <w:p>
            <w:pPr>
              <w:spacing w:after="0" w:line="269" w:lineRule="auto"/>
            </w:pPr>
            <w:r/>
            <w:r>
              <w:rPr>
                <w:rFonts w:ascii="Noto Sans CJK SC" w:hAnsi="Noto Sans CJK SC" w:eastAsia="Noto Sans CJK SC"/>
                <w:b w:val="0"/>
                <w:sz w:val="15"/>
              </w:rPr>
              <w:t>约定收货后 7-10 日内书面提出异议，逾期视为验收合格；明确第三方检验或证据材料。</w:t>
            </w:r>
          </w:p>
        </w:tc>
      </w:tr>
      <w:tr>
        <w:tc>
          <w:tcPr>
            <w:tcW w:type="dxa" w:w="1247"/>
            <w:shd w:fill="F2F6FA"/>
            <w:vAlign w:val="center"/>
          </w:tcPr>
          <w:p>
            <w:pPr>
              <w:spacing w:after="0" w:line="269" w:lineRule="auto"/>
            </w:pPr>
            <w:r/>
            <w:r>
              <w:rPr>
                <w:rFonts w:ascii="Noto Sans CJK SC" w:hAnsi="Noto Sans CJK SC" w:eastAsia="Noto Sans CJK SC"/>
                <w:b/>
                <w:sz w:val="15"/>
              </w:rPr>
              <w:t>黄色</w:t>
            </w:r>
          </w:p>
        </w:tc>
        <w:tc>
          <w:tcPr>
            <w:tcW w:type="dxa" w:w="2721"/>
            <w:vAlign w:val="center"/>
          </w:tcPr>
          <w:p>
            <w:pPr>
              <w:spacing w:after="0" w:line="269" w:lineRule="auto"/>
            </w:pPr>
            <w:r/>
            <w:r>
              <w:rPr>
                <w:rFonts w:ascii="Noto Sans CJK SC" w:hAnsi="Noto Sans CJK SC" w:eastAsia="Noto Sans CJK SC"/>
                <w:b w:val="0"/>
                <w:sz w:val="15"/>
              </w:rPr>
              <w:t>PO 未明确适用法律和争议解决方式。</w:t>
            </w:r>
          </w:p>
        </w:tc>
        <w:tc>
          <w:tcPr>
            <w:tcW w:type="dxa" w:w="3288"/>
            <w:vAlign w:val="center"/>
          </w:tcPr>
          <w:p>
            <w:pPr>
              <w:spacing w:after="0" w:line="269" w:lineRule="auto"/>
            </w:pPr>
            <w:r/>
            <w:r>
              <w:rPr>
                <w:rFonts w:ascii="Noto Sans CJK SC" w:hAnsi="Noto Sans CJK SC" w:eastAsia="Noto Sans CJK SC"/>
                <w:b w:val="0"/>
                <w:sz w:val="15"/>
              </w:rPr>
              <w:t>发生争议后，管辖地、适用规则和解决成本不确定。</w:t>
            </w:r>
          </w:p>
        </w:tc>
        <w:tc>
          <w:tcPr>
            <w:tcW w:type="dxa" w:w="3118"/>
            <w:vAlign w:val="center"/>
          </w:tcPr>
          <w:p>
            <w:pPr>
              <w:spacing w:after="0" w:line="269" w:lineRule="auto"/>
            </w:pPr>
            <w:r/>
            <w:r>
              <w:rPr>
                <w:rFonts w:ascii="Noto Sans CJK SC" w:hAnsi="Noto Sans CJK SC" w:eastAsia="Noto Sans CJK SC"/>
                <w:b w:val="0"/>
                <w:sz w:val="15"/>
              </w:rPr>
              <w:t>交由法务复核，补充仲裁或诉讼条款、语言、地点和适用法律。</w:t>
            </w:r>
          </w:p>
        </w:tc>
      </w:tr>
      <w:tr>
        <w:tc>
          <w:tcPr>
            <w:tcW w:type="dxa" w:w="1247"/>
            <w:shd w:fill="F2F6FA"/>
            <w:vAlign w:val="center"/>
          </w:tcPr>
          <w:p>
            <w:pPr>
              <w:spacing w:after="0" w:line="269" w:lineRule="auto"/>
            </w:pPr>
            <w:r/>
            <w:r>
              <w:rPr>
                <w:rFonts w:ascii="Noto Sans CJK SC" w:hAnsi="Noto Sans CJK SC" w:eastAsia="Noto Sans CJK SC"/>
                <w:b/>
                <w:sz w:val="15"/>
              </w:rPr>
              <w:t>黄色</w:t>
            </w:r>
          </w:p>
        </w:tc>
        <w:tc>
          <w:tcPr>
            <w:tcW w:type="dxa" w:w="2721"/>
            <w:vAlign w:val="center"/>
          </w:tcPr>
          <w:p>
            <w:pPr>
              <w:spacing w:after="0" w:line="269" w:lineRule="auto"/>
            </w:pPr>
            <w:r/>
            <w:r>
              <w:rPr>
                <w:rFonts w:ascii="Noto Sans CJK SC" w:hAnsi="Noto Sans CJK SC" w:eastAsia="Noto Sans CJK SC"/>
                <w:b w:val="0"/>
                <w:sz w:val="15"/>
              </w:rPr>
              <w:t>缺少收货确认、验货记录和催款节点。</w:t>
            </w:r>
          </w:p>
        </w:tc>
        <w:tc>
          <w:tcPr>
            <w:tcW w:type="dxa" w:w="3288"/>
            <w:vAlign w:val="center"/>
          </w:tcPr>
          <w:p>
            <w:pPr>
              <w:spacing w:after="0" w:line="269" w:lineRule="auto"/>
            </w:pPr>
            <w:r/>
            <w:r>
              <w:rPr>
                <w:rFonts w:ascii="Noto Sans CJK SC" w:hAnsi="Noto Sans CJK SC" w:eastAsia="Noto Sans CJK SC"/>
                <w:b w:val="0"/>
                <w:sz w:val="15"/>
              </w:rPr>
              <w:t>后续如发生拒付，事实链条可能不完整。</w:t>
            </w:r>
          </w:p>
        </w:tc>
        <w:tc>
          <w:tcPr>
            <w:tcW w:type="dxa" w:w="3118"/>
            <w:vAlign w:val="center"/>
          </w:tcPr>
          <w:p>
            <w:pPr>
              <w:spacing w:after="0" w:line="269" w:lineRule="auto"/>
            </w:pPr>
            <w:r/>
            <w:r>
              <w:rPr>
                <w:rFonts w:ascii="Noto Sans CJK SC" w:hAnsi="Noto Sans CJK SC" w:eastAsia="Noto Sans CJK SC"/>
                <w:b w:val="0"/>
                <w:sz w:val="15"/>
              </w:rPr>
              <w:t>履约过程中保存验货报告、发货通知、提单、收货确认、催款邮件和客户确认记录。</w:t>
            </w:r>
          </w:p>
        </w:tc>
      </w:tr>
    </w:tbl>
    <w:p>
      <w:pPr>
        <w:spacing w:after="40"/>
      </w:pPr>
    </w:p>
    <w:p>
      <w:pPr>
        <w:pStyle w:val="Heading2"/>
        <w:spacing w:before="120" w:after="80"/>
      </w:pPr>
      <w:r>
        <w:rPr>
          <w:rFonts w:ascii="Noto Sans CJK SC" w:hAnsi="Noto Sans CJK SC" w:eastAsia="Noto Sans CJK SC"/>
          <w:b/>
          <w:color w:val="1F4E79"/>
          <w:sz w:val="25"/>
        </w:rPr>
        <w:t>系统建议结论</w:t>
      </w:r>
    </w:p>
    <w:p>
      <w:pPr>
        <w:spacing w:after="100" w:line="283" w:lineRule="auto"/>
        <w:ind w:firstLine="420"/>
      </w:pPr>
      <w:r>
        <w:rPr>
          <w:rFonts w:ascii="Noto Sans CJK SC" w:hAnsi="Noto Sans CJK SC" w:eastAsia="Noto Sans CJK SC"/>
          <w:sz w:val="21"/>
        </w:rPr>
        <w:t>本订单存在较高尾款回收风险。建议在发货前与买方重新协商尾款支付节点，并由负责人或法务复核付款条款和争议解决条款。如客户坚持到港后付款，应提高预付款比例、增加逾期付款责任、明确验收期限，并在履约过程中保存完整单据和沟通记录。</w:t>
      </w:r>
    </w:p>
    <w:p>
      <w:pPr>
        <w:pStyle w:val="Heading1"/>
        <w:spacing w:before="200" w:after="80"/>
      </w:pPr>
      <w:r>
        <w:rPr>
          <w:rFonts w:ascii="Noto Sans CJK SC" w:hAnsi="Noto Sans CJK SC" w:eastAsia="Noto Sans CJK SC"/>
          <w:b/>
          <w:color w:val="1F4E79"/>
          <w:sz w:val="30"/>
        </w:rPr>
        <w:t>十四、总结</w:t>
      </w:r>
    </w:p>
    <w:p>
      <w:pPr>
        <w:spacing w:after="100" w:line="283" w:lineRule="auto"/>
        <w:ind w:firstLine="420"/>
      </w:pPr>
      <w:r>
        <w:rPr>
          <w:rFonts w:ascii="Noto Sans CJK SC" w:hAnsi="Noto Sans CJK SC" w:eastAsia="Noto Sans CJK SC"/>
          <w:sz w:val="21"/>
        </w:rPr>
        <w:t>TradeLaw AI 的优化版定位是：面向中国中小外贸企业出口东南亚订单的法律风险协作工作台。它不试图在初赛阶段覆盖全部涉外法律问题，而是聚焦订单签约和履约中的高频风险，把合同/PO/PI 审查、履约留痕、人工复核和报告导出做成一个清晰闭环。</w:t>
      </w:r>
    </w:p>
    <w:p>
      <w:pPr>
        <w:spacing w:after="100" w:line="283" w:lineRule="auto"/>
        <w:ind w:firstLine="420"/>
      </w:pPr>
      <w:r>
        <w:rPr>
          <w:rFonts w:ascii="Noto Sans CJK SC" w:hAnsi="Noto Sans CJK SC" w:eastAsia="Noto Sans CJK SC"/>
          <w:sz w:val="21"/>
        </w:rPr>
        <w:t>本方案的核心优势在于三点：第一，产品边界清晰，MVP 可通过模拟东南亚订单案例实现；第二，法律专业性可通过规则库来源、原文保留、人工复核和合规四道防线体现；第三，发展潜力充足，后续可以扩展客户风险初筛、企业系统接入、对话式入口、国家风险卡和律所协作服务。</w:t>
      </w:r>
    </w:p>
    <w:p>
      <w:pPr>
        <w:spacing w:after="100" w:line="283" w:lineRule="auto"/>
        <w:ind w:firstLine="420"/>
      </w:pPr>
      <w:r>
        <w:rPr>
          <w:rFonts w:ascii="Noto Sans CJK SC" w:hAnsi="Noto Sans CJK SC" w:eastAsia="Noto Sans CJK SC"/>
          <w:sz w:val="21"/>
        </w:rPr>
        <w:t>对于比赛展示而言，最重要的不是证明平台已经拥有全部外部数据和企业级接口，而是证明团队已经找到了一个真实、具体、可落地的法律 AI 场景：让外贸业务员在签约前看懂风险，让法务在高风险节点有效复核，让企业负责人在交易前做出更稳妥的决策。</w:t>
      </w:r>
    </w:p>
    <w:p>
      <w:pPr>
        <w:pStyle w:val="Heading1"/>
        <w:spacing w:before="200" w:after="80"/>
      </w:pPr>
      <w:r>
        <w:rPr>
          <w:rFonts w:ascii="Noto Sans CJK SC" w:hAnsi="Noto Sans CJK SC" w:eastAsia="Noto Sans CJK SC"/>
          <w:b/>
          <w:color w:val="1F4E79"/>
          <w:sz w:val="30"/>
        </w:rPr>
        <w:t>附：参考依据与资料来源</w:t>
      </w:r>
    </w:p>
    <w:p>
      <w:pPr>
        <w:spacing w:after="100" w:line="283" w:lineRule="auto"/>
      </w:pPr>
      <w:r>
        <w:rPr>
          <w:rFonts w:ascii="Noto Sans CJK SC" w:hAnsi="Noto Sans CJK SC" w:eastAsia="Noto Sans CJK SC"/>
          <w:sz w:val="21"/>
        </w:rPr>
        <w:t>以下资料用于支撑本方案中的法律依据、国际贸易惯例、电子证据、个人信息保护、数据安全和东南亚市场定位。具体产品落地时仍需由法律专业人员根据最新法律法规和企业实际情况进行复核。</w:t>
      </w:r>
    </w:p>
    <w:p>
      <w:pPr>
        <w:spacing w:after="40" w:line="264" w:lineRule="auto"/>
      </w:pPr>
      <w:r>
        <w:rPr>
          <w:rFonts w:ascii="Noto Sans CJK SC" w:hAnsi="Noto Sans CJK SC" w:eastAsia="Noto Sans CJK SC"/>
          <w:sz w:val="17"/>
        </w:rPr>
        <w:t xml:space="preserve">〔1〕最高人民检察院官网转载：《中华人民共和国民法典》第三编 合同。 </w:t>
      </w:r>
      <w:hyperlink r:id="rId10">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〔2〕最高人民法院：《最高人民法院关于适用〈中华人民共和国民法典〉合同编通则若干问题的解释》。 </w:t>
      </w:r>
      <w:hyperlink r:id="rId11">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〔3〕International Chamber of Commerce：Incoterms® rules。 </w:t>
      </w:r>
      <w:hyperlink r:id="rId12">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〔4〕最高人民法院：《人民法院在线诉讼规则》。 </w:t>
      </w:r>
      <w:hyperlink r:id="rId13">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〔5〕最高人民法院知识产权法庭：《最高人民法院关于民事诉讼证据的若干规定（2019 修正）》。 </w:t>
      </w:r>
      <w:hyperlink r:id="rId14">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〔6〕最高人民检察院官网转载：《中华人民共和国个人信息保护法》。 </w:t>
      </w:r>
      <w:hyperlink r:id="rId15">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〔7〕中国网信网：《中华人民共和国网络安全法》。 </w:t>
      </w:r>
      <w:hyperlink r:id="rId16">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〔8〕中国网信网：《中华人民共和国数据安全法》。 </w:t>
      </w:r>
      <w:hyperlink r:id="rId17">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〔9〕商务部驻东盟使团经济商务处：《贸易快报｜2025 年 1-11 月中国—东盟贸易简况》。 </w:t>
      </w:r>
      <w:hyperlink r:id="rId18">
        <w:r>
          <w:rPr>
            <w:rStyle w:val="Hyperlink"/>
            <w:color w:val="0563C1"/>
            <w:u w:val="single"/>
            <w:rFonts w:eastAsia="Noto Sans CJK SC" w:ascii="Noto Sans CJK SC" w:hAnsi="Noto Sans CJK SC"/>
          </w:rPr>
          <w:t>原文链接</w:t>
        </w:r>
      </w:hyperlink>
    </w:p>
    <w:p>
      <w:pPr>
        <w:spacing w:after="40" w:line="264" w:lineRule="auto"/>
      </w:pPr>
      <w:r>
        <w:rPr>
          <w:rFonts w:ascii="Noto Sans CJK SC" w:hAnsi="Noto Sans CJK SC" w:eastAsia="Noto Sans CJK SC"/>
          <w:sz w:val="17"/>
        </w:rPr>
        <w:t xml:space="preserve">〔10〕ASEAN：ASEAN Model Contractual Clauses for Cross Border Data Flows。 </w:t>
      </w:r>
      <w:hyperlink r:id="rId19">
        <w:r>
          <w:rPr>
            <w:rStyle w:val="Hyperlink"/>
            <w:color w:val="0563C1"/>
            <w:u w:val="single"/>
            <w:rFonts w:eastAsia="Noto Sans CJK SC" w:ascii="Noto Sans CJK SC" w:hAnsi="Noto Sans CJK SC"/>
          </w:rPr>
          <w:t>原文链接</w:t>
        </w:r>
      </w:hyperlink>
    </w:p>
    <w:sectPr w:rsidR="00FC693F" w:rsidRPr="0006063C" w:rsidSect="00034616">
      <w:footerReference w:type="default" r:id="rId9"/>
      <w:pgSz w:w="11906" w:h="16838"/>
      <w:pgMar w:top="992"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oto Sans CJK SC" w:hAnsi="Noto Sans CJK SC" w:eastAsia="Noto Sans CJK SC"/>
        <w:color w:val="505050"/>
        <w:sz w:val="17"/>
      </w:rPr>
      <w:t>TradeLaw AI 方案优化版｜法律 AI × 外贸订单风险协作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pp.gov.cn/spp/ssmfdyflvdtpgz/202008/t20200831_478413.shtml" TargetMode="External"/><Relationship Id="rId11" Type="http://schemas.openxmlformats.org/officeDocument/2006/relationships/hyperlink" Target="https://www.court.gov.cn/fabu/xiangqing/419382.html" TargetMode="External"/><Relationship Id="rId12" Type="http://schemas.openxmlformats.org/officeDocument/2006/relationships/hyperlink" Target="https://iccwbo.org/business-solutions/incoterms-rules/" TargetMode="External"/><Relationship Id="rId13" Type="http://schemas.openxmlformats.org/officeDocument/2006/relationships/hyperlink" Target="https://www.court.gov.cn/zixun/xiangqing/309551.html" TargetMode="External"/><Relationship Id="rId14" Type="http://schemas.openxmlformats.org/officeDocument/2006/relationships/hyperlink" Target="https://ipc.court.gov.cn/zh-cn/news/view-393.html" TargetMode="External"/><Relationship Id="rId15" Type="http://schemas.openxmlformats.org/officeDocument/2006/relationships/hyperlink" Target="https://www.spp.gov.cn/spp/fl/202108/t20210820_527244.shtml" TargetMode="External"/><Relationship Id="rId16" Type="http://schemas.openxmlformats.org/officeDocument/2006/relationships/hyperlink" Target="https://www.cac.gov.cn/2016-11/07/c_1119867116_2.htm" TargetMode="External"/><Relationship Id="rId17" Type="http://schemas.openxmlformats.org/officeDocument/2006/relationships/hyperlink" Target="https://www.cac.gov.cn/2021-06/11/c_1624994566919140.htm" TargetMode="External"/><Relationship Id="rId18" Type="http://schemas.openxmlformats.org/officeDocument/2006/relationships/hyperlink" Target="https://asean.mofcom.gov.cn/jmxw/art/2025/art_83ec58e0b7084f6baa01a8392d20ec92.html" TargetMode="External"/><Relationship Id="rId19" Type="http://schemas.openxmlformats.org/officeDocument/2006/relationships/hyperlink" Target="https://asean.org/wp-content/uploads/3-ASEAN-Model-Contractual-Clauses-for-Cross-Border-Data-Flows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TradeLaw AI：面向东南亚外贸订单的法律风险协作工作台（优化版）</dc:title>
  <dc:subject>第二届星瀚杯 全国大学生法律 AI 应用创新挑战赛 初赛创意方案</dc:subject>
  <dc:creator>TradeLaw AI 项目组</dc:creator>
  <cp:keywords/>
  <dc:description>MVP 聚焦优化版；以 Web 平台为主，强化东南亚定位、规则库来源和合规边界。</dc:description>
  <cp:lastModifiedBy/>
  <cp:revision>1</cp:revision>
  <dcterms:created xsi:type="dcterms:W3CDTF">2013-12-23T23:15:00Z</dcterms:created>
  <dcterms:modified xsi:type="dcterms:W3CDTF">2013-12-23T23:15:00Z</dcterms:modified>
  <cp:category/>
</cp:coreProperties>
</file>