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524D"/>
          <w:sz w:val="22"/>
        </w:rPr>
        <w:t>FASE 5 Y FASE 6 · CONSTRUCCIÓN Y CONVERSIÓN DE DATOS</w:t>
      </w:r>
    </w:p>
    <w:p/>
    <w:p/>
    <w:p>
      <w:pPr>
        <w:jc w:val="center"/>
      </w:pPr>
      <w:r>
        <w:rPr>
          <w:rFonts w:ascii="Georgia" w:hAnsi="Georgia"/>
          <w:b/>
          <w:sz w:val="60"/>
        </w:rPr>
        <w:t>Sistema de Gestión para</w:t>
        <w:br/>
        <w:t>Lavandería ISAI</w:t>
      </w:r>
    </w:p>
    <w:p/>
    <w:p/>
    <w:p/>
    <w:p>
      <w:pPr>
        <w:jc w:val="center"/>
      </w:pPr>
      <w:r>
        <w:rPr>
          <w:color w:val="4B615D"/>
          <w:sz w:val="23"/>
        </w:rPr>
        <w:t>Cliente: Uriel Sierra — Cobán, Alta Verapaz</w:t>
      </w:r>
    </w:p>
    <w:p>
      <w:pPr>
        <w:jc w:val="center"/>
      </w:pPr>
      <w:r>
        <w:rPr>
          <w:color w:val="4B615D"/>
          <w:sz w:val="23"/>
        </w:rPr>
        <w:t>Universidad de San Carlos de Guatemala — CUNOR</w:t>
      </w:r>
    </w:p>
    <w:p>
      <w:pPr>
        <w:jc w:val="center"/>
      </w:pPr>
      <w:r>
        <w:rPr>
          <w:color w:val="4B615D"/>
          <w:sz w:val="23"/>
        </w:rPr>
        <w:t>Ingeniería en Ciencias y Sistemas · Software Avanzado</w:t>
      </w:r>
    </w:p>
    <w:p>
      <w:pPr>
        <w:jc w:val="center"/>
      </w:pPr>
      <w:r>
        <w:rPr>
          <w:color w:val="4B615D"/>
          <w:sz w:val="23"/>
        </w:rPr>
        <w:t>Óscar Ozziel Yaxcal Leal — 202240349</w:t>
      </w:r>
    </w:p>
    <w:p>
      <w:r>
        <w:br w:type="page"/>
      </w:r>
    </w:p>
    <w:p>
      <w:pPr>
        <w:pStyle w:val="Heading1"/>
      </w:pPr>
      <w:r>
        <w:t>Fase 5. Construcción / selección</w:t>
      </w:r>
    </w:p>
    <w:p>
      <w:pPr>
        <w:pStyle w:val="Heading2"/>
      </w:pPr>
      <w:r>
        <w:t>5.1 Descripción del lenguaje de programación</w:t>
      </w:r>
    </w:p>
    <w:p>
      <w:r>
        <w:t>Todo el sistema está escrito en TypeScript, tanto en el frontend como en el backend. TypeScript es un superconjunto de JavaScript que agrega tipado estático: los errores de tipo (por ejemplo, enviar un texto donde se espera un número) se detectan al compilar, antes de que lleguen a producción, en vez de aparecer en tiempo de ejecución frente al usuario.</w:t>
      </w:r>
    </w:p>
    <w:p>
      <w:r>
        <w:t>Se eligió por tres razones concretas para este proyecto:</w:t>
      </w:r>
    </w:p>
    <w:p>
      <w:pPr>
        <w:pStyle w:val="ListBullet"/>
      </w:pPr>
      <w:r>
        <w:t>Un solo lenguaje en todo el stack (cliente y servidor), lo que reduce el cambio de contexto al desarrollar y permite compartir el mismo criterio de tipado en ambos lados.</w:t>
      </w:r>
    </w:p>
    <w:p>
      <w:pPr>
        <w:pStyle w:val="ListBullet"/>
      </w:pPr>
      <w:r>
        <w:t>Integración directa con Prisma ORM, que genera tipos TypeScript a partir del esquema de la base de datos — si una columna cambia, el compilador avisa en cada lugar del código que la usa.</w:t>
      </w:r>
    </w:p>
    <w:p>
      <w:pPr>
        <w:pStyle w:val="ListBullet"/>
      </w:pPr>
      <w:r>
        <w:t>Mejor autocompletado y refactorización segura en el editor, relevante para un proyecto que creció de 7 a 9 tablas y varios módulos durante el desarrollo.</w:t>
      </w:r>
    </w:p>
    <w:tbl>
      <w:tblPr>
        <w:tblStyle w:val="TableGrid"/>
        <w:tblW w:type="auto" w:w="0"/>
        <w:jc w:val="center"/>
        <w:tblLook w:firstColumn="1" w:firstRow="1" w:lastColumn="0" w:lastRow="0" w:noHBand="0" w:noVBand="1" w:val="04A0"/>
      </w:tblPr>
      <w:tblGrid>
        <w:gridCol w:w="4816"/>
        <w:gridCol w:w="4816"/>
      </w:tblGrid>
      <w:tr>
        <w:tc>
          <w:tcPr>
            <w:tcW w:type="dxa" w:w="2880"/>
            <w:shd w:fill="0A524D"/>
          </w:tcPr>
          <w:p>
            <w:r/>
            <w:r>
              <w:rPr>
                <w:rFonts w:ascii="Calibri" w:hAnsi="Calibri"/>
                <w:b/>
                <w:color w:val="FFFFFF"/>
                <w:sz w:val="19"/>
              </w:rPr>
              <w:t>Capa</w:t>
            </w:r>
          </w:p>
        </w:tc>
        <w:tc>
          <w:tcPr>
            <w:tcW w:type="dxa" w:w="6480"/>
            <w:shd w:fill="0A524D"/>
          </w:tcPr>
          <w:p>
            <w:r/>
            <w:r>
              <w:rPr>
                <w:rFonts w:ascii="Calibri" w:hAnsi="Calibri"/>
                <w:b/>
                <w:color w:val="FFFFFF"/>
                <w:sz w:val="19"/>
              </w:rPr>
              <w:t>Tecnología</w:t>
            </w:r>
          </w:p>
        </w:tc>
      </w:tr>
      <w:tr>
        <w:tc>
          <w:tcPr>
            <w:tcW w:type="dxa" w:w="2880"/>
          </w:tcPr>
          <w:p>
            <w:r/>
            <w:r>
              <w:rPr>
                <w:rFonts w:ascii="Calibri" w:hAnsi="Calibri"/>
                <w:b w:val="0"/>
                <w:sz w:val="19"/>
              </w:rPr>
              <w:t>Frontend</w:t>
            </w:r>
          </w:p>
        </w:tc>
        <w:tc>
          <w:tcPr>
            <w:tcW w:type="dxa" w:w="6480"/>
          </w:tcPr>
          <w:p>
            <w:r/>
            <w:r>
              <w:rPr>
                <w:rFonts w:ascii="Calibri" w:hAnsi="Calibri"/>
                <w:b w:val="0"/>
                <w:sz w:val="19"/>
              </w:rPr>
              <w:t>React 19 + Vite + TypeScript + React Router</w:t>
            </w:r>
          </w:p>
        </w:tc>
      </w:tr>
      <w:tr>
        <w:tc>
          <w:tcPr>
            <w:tcW w:type="dxa" w:w="2880"/>
            <w:shd w:fill="EEF3F2"/>
          </w:tcPr>
          <w:p>
            <w:r/>
            <w:r>
              <w:rPr>
                <w:rFonts w:ascii="Calibri" w:hAnsi="Calibri"/>
                <w:b w:val="0"/>
                <w:sz w:val="19"/>
              </w:rPr>
              <w:t>Backend</w:t>
            </w:r>
          </w:p>
        </w:tc>
        <w:tc>
          <w:tcPr>
            <w:tcW w:type="dxa" w:w="6480"/>
            <w:shd w:fill="EEF3F2"/>
          </w:tcPr>
          <w:p>
            <w:r/>
            <w:r>
              <w:rPr>
                <w:rFonts w:ascii="Calibri" w:hAnsi="Calibri"/>
                <w:b w:val="0"/>
                <w:sz w:val="19"/>
              </w:rPr>
              <w:t>Node.js + Express + TypeScript</w:t>
            </w:r>
          </w:p>
        </w:tc>
      </w:tr>
      <w:tr>
        <w:tc>
          <w:tcPr>
            <w:tcW w:type="dxa" w:w="2880"/>
          </w:tcPr>
          <w:p>
            <w:r/>
            <w:r>
              <w:rPr>
                <w:rFonts w:ascii="Calibri" w:hAnsi="Calibri"/>
                <w:b w:val="0"/>
                <w:sz w:val="19"/>
              </w:rPr>
              <w:t>Base de datos</w:t>
            </w:r>
          </w:p>
        </w:tc>
        <w:tc>
          <w:tcPr>
            <w:tcW w:type="dxa" w:w="6480"/>
          </w:tcPr>
          <w:p>
            <w:r/>
            <w:r>
              <w:rPr>
                <w:rFonts w:ascii="Calibri" w:hAnsi="Calibri"/>
                <w:b w:val="0"/>
                <w:sz w:val="19"/>
              </w:rPr>
              <w:t>PostgreSQL + Prisma ORM</w:t>
            </w:r>
          </w:p>
        </w:tc>
      </w:tr>
      <w:tr>
        <w:tc>
          <w:tcPr>
            <w:tcW w:type="dxa" w:w="2880"/>
            <w:shd w:fill="EEF3F2"/>
          </w:tcPr>
          <w:p>
            <w:r/>
            <w:r>
              <w:rPr>
                <w:rFonts w:ascii="Calibri" w:hAnsi="Calibri"/>
                <w:b w:val="0"/>
                <w:sz w:val="19"/>
              </w:rPr>
              <w:t>Autenticación</w:t>
            </w:r>
          </w:p>
        </w:tc>
        <w:tc>
          <w:tcPr>
            <w:tcW w:type="dxa" w:w="6480"/>
            <w:shd w:fill="EEF3F2"/>
          </w:tcPr>
          <w:p>
            <w:r/>
            <w:r>
              <w:rPr>
                <w:rFonts w:ascii="Calibri" w:hAnsi="Calibri"/>
                <w:b w:val="0"/>
                <w:sz w:val="19"/>
              </w:rPr>
              <w:t>JWT (jsonwebtoken) + bcryptjs</w:t>
            </w:r>
          </w:p>
        </w:tc>
      </w:tr>
    </w:tbl>
    <w:p/>
    <w:p>
      <w:pPr>
        <w:pStyle w:val="Heading2"/>
      </w:pPr>
      <w:r>
        <w:t>5.2 Estándares de programación a utilizar</w:t>
      </w:r>
    </w:p>
    <w:p>
      <w:pPr>
        <w:pStyle w:val="ListBullet"/>
      </w:pPr>
      <w:r>
        <w:t>Tipado estricto: ambos subproyectos corren con "strict": true en su tsconfig.json; el frontend además activa noUnusedLocals y noUnusedParameters para no dejar código muerto.</w:t>
      </w:r>
    </w:p>
    <w:p>
      <w:pPr>
        <w:pStyle w:val="ListBullet"/>
      </w:pPr>
      <w:r>
        <w:t>Linter: oxlint en el frontend (npm run lint), para detectar patrones riesgosos antes de confirmar un cambio.</w:t>
      </w:r>
    </w:p>
    <w:p>
      <w:pPr>
        <w:pStyle w:val="ListBullet"/>
      </w:pPr>
      <w:r>
        <w:t>Nomenclatura consistente: camelCase para variables, funciones y propiedades en TypeScript; snake_case para las columnas de la base de datos, con un mapeo explícito entre ambos mediante el decorador @map de Prisma (por ejemplo, cantidadActual en el código corresponde a cantidad_actual en la tabla).</w:t>
      </w:r>
    </w:p>
    <w:p>
      <w:pPr>
        <w:pStyle w:val="ListBullet"/>
      </w:pPr>
      <w:r>
        <w:t>Arquitectura en capas en el backend: ruta → middleware de autenticación → controlador (valida la petición HTTP) → servicio (contiene la lógica de negocio) → Prisma (acceso a datos). Esto separa la validación de entrada de las reglas de negocio, y estas últimas de la base de datos.</w:t>
      </w:r>
    </w:p>
    <w:p>
      <w:pPr>
        <w:pStyle w:val="ListBullet"/>
      </w:pPr>
      <w:r>
        <w:t>Componentes reutilizables en el frontend (por ejemplo, tarjetas de alerta, notificaciones y el buscador con autocompletado) en vez de repetir el mismo código en cada pantalla.</w:t>
      </w:r>
    </w:p>
    <w:p>
      <w:pPr>
        <w:pStyle w:val="ListBullet"/>
      </w:pPr>
      <w:r>
        <w:t>Variables de entorno (.env) para toda configuración sensible — cadena de conexión a la base de datos y secreto de firma de JWT — nunca escritas directamente en el código.</w:t>
      </w:r>
    </w:p>
    <w:p>
      <w:pPr>
        <w:pStyle w:val="Heading2"/>
      </w:pPr>
      <w:r>
        <w:t>5.3 Administración del control de versiones</w:t>
      </w:r>
    </w:p>
    <w:p>
      <w:r>
        <w:t>El control de versiones se lleva con Git, con un repositorio remoto en GitHub (github.com/O3xxiel/ISAI-Laundry-Management-System) como respaldo y punto único de verdad del código. El desarrollo se mantiene sobre la rama main.</w:t>
      </w:r>
    </w:p>
    <w:p>
      <w:pPr>
        <w:pStyle w:val="ListBullet"/>
      </w:pPr>
      <w:r>
        <w:t>Un archivo .gitignore excluye del repositorio las dependencias (node_modules), las variables de entorno (.env) y los artefactos de compilación, para no exponer configuración sensible ni archivos regenerables.</w:t>
      </w:r>
    </w:p>
    <w:p>
      <w:pPr>
        <w:pStyle w:val="ListBullet"/>
      </w:pPr>
      <w:r>
        <w:t>Los cambios se confirman en commits independientes y descriptivos, en vez de un solo commit masivo, para poder rastrear cuándo y por qué cambió cada parte del sistema.</w:t>
      </w:r>
    </w:p>
    <w:p>
      <w:pPr>
        <w:pStyle w:val="ListBullet"/>
      </w:pPr>
      <w:r>
        <w:t>El esquema de la base de datos se versiona junto con el código mediante las migraciones de Prisma (carpeta prisma/migrations), de forma que cualquier persona que clone el repositorio puede reconstruir la base de datos exactamente como está definida en ese punto del historial.</w:t>
      </w:r>
    </w:p>
    <w:p>
      <w:pPr>
        <w:pStyle w:val="Heading2"/>
      </w:pPr>
      <w:r>
        <w:t>5.4 Construcción del prototipo</w:t>
      </w:r>
    </w:p>
    <w:p>
      <w:r>
        <w:t>El prototipo construido es un sistema funcional de tres capas (frontend, backend, base de datos), desplegable en las capas gratuitas de Vercel, Render y Neon respectivamente. Los módulos ya construidos y probados con datos reales son:</w:t>
      </w:r>
    </w:p>
    <w:tbl>
      <w:tblPr>
        <w:tblStyle w:val="TableGrid"/>
        <w:tblW w:type="auto" w:w="0"/>
        <w:jc w:val="center"/>
        <w:tblLook w:firstColumn="1" w:firstRow="1" w:lastColumn="0" w:lastRow="0" w:noHBand="0" w:noVBand="1" w:val="04A0"/>
      </w:tblPr>
      <w:tblGrid>
        <w:gridCol w:w="4816"/>
        <w:gridCol w:w="4816"/>
      </w:tblGrid>
      <w:tr>
        <w:tc>
          <w:tcPr>
            <w:tcW w:type="dxa" w:w="2880"/>
            <w:shd w:fill="0A524D"/>
          </w:tcPr>
          <w:p>
            <w:r/>
            <w:r>
              <w:rPr>
                <w:rFonts w:ascii="Calibri" w:hAnsi="Calibri"/>
                <w:b/>
                <w:color w:val="FFFFFF"/>
                <w:sz w:val="19"/>
              </w:rPr>
              <w:t>Módulo</w:t>
            </w:r>
          </w:p>
        </w:tc>
        <w:tc>
          <w:tcPr>
            <w:tcW w:type="dxa" w:w="6912"/>
            <w:shd w:fill="0A524D"/>
          </w:tcPr>
          <w:p>
            <w:r/>
            <w:r>
              <w:rPr>
                <w:rFonts w:ascii="Calibri" w:hAnsi="Calibri"/>
                <w:b/>
                <w:color w:val="FFFFFF"/>
                <w:sz w:val="19"/>
              </w:rPr>
              <w:t>Qué resuelve</w:t>
            </w:r>
          </w:p>
        </w:tc>
      </w:tr>
      <w:tr>
        <w:tc>
          <w:tcPr>
            <w:tcW w:type="dxa" w:w="2880"/>
          </w:tcPr>
          <w:p>
            <w:r/>
            <w:r>
              <w:rPr>
                <w:rFonts w:ascii="Calibri" w:hAnsi="Calibri"/>
                <w:b w:val="0"/>
                <w:sz w:val="19"/>
              </w:rPr>
              <w:t>Autenticación</w:t>
            </w:r>
          </w:p>
        </w:tc>
        <w:tc>
          <w:tcPr>
            <w:tcW w:type="dxa" w:w="6912"/>
          </w:tcPr>
          <w:p>
            <w:r/>
            <w:r>
              <w:rPr>
                <w:rFonts w:ascii="Calibri" w:hAnsi="Calibri"/>
                <w:b w:val="0"/>
                <w:sz w:val="19"/>
              </w:rPr>
              <w:t>Inicio de sesión con contraseña cifrada (bcrypt) y sesión firmada (JWT en cookie httpOnly).</w:t>
            </w:r>
          </w:p>
        </w:tc>
      </w:tr>
      <w:tr>
        <w:tc>
          <w:tcPr>
            <w:tcW w:type="dxa" w:w="2880"/>
            <w:shd w:fill="EEF3F2"/>
          </w:tcPr>
          <w:p>
            <w:r/>
            <w:r>
              <w:rPr>
                <w:rFonts w:ascii="Calibri" w:hAnsi="Calibri"/>
                <w:b w:val="0"/>
                <w:sz w:val="19"/>
              </w:rPr>
              <w:t>Punto de Venta (POS)</w:t>
            </w:r>
          </w:p>
        </w:tc>
        <w:tc>
          <w:tcPr>
            <w:tcW w:type="dxa" w:w="6912"/>
            <w:shd w:fill="EEF3F2"/>
          </w:tcPr>
          <w:p>
            <w:r/>
            <w:r>
              <w:rPr>
                <w:rFonts w:ascii="Calibri" w:hAnsi="Calibri"/>
                <w:b w:val="0"/>
                <w:sz w:val="19"/>
              </w:rPr>
              <w:t>Registro de pedidos con uno o varios servicios por orden, cálculo automático del cobro por peso, pieza o tarifa fija, y control de pagos (total, anticipo o al entregar).</w:t>
            </w:r>
          </w:p>
        </w:tc>
      </w:tr>
      <w:tr>
        <w:tc>
          <w:tcPr>
            <w:tcW w:type="dxa" w:w="2880"/>
          </w:tcPr>
          <w:p>
            <w:r/>
            <w:r>
              <w:rPr>
                <w:rFonts w:ascii="Calibri" w:hAnsi="Calibri"/>
                <w:b w:val="0"/>
                <w:sz w:val="19"/>
              </w:rPr>
              <w:t>Catálogo de servicios</w:t>
            </w:r>
          </w:p>
        </w:tc>
        <w:tc>
          <w:tcPr>
            <w:tcW w:type="dxa" w:w="6912"/>
          </w:tcPr>
          <w:p>
            <w:r/>
            <w:r>
              <w:rPr>
                <w:rFonts w:ascii="Calibri" w:hAnsi="Calibri"/>
                <w:b w:val="0"/>
                <w:sz w:val="19"/>
              </w:rPr>
              <w:t>Alta y consulta de los servicios ofrecidos y su forma de cobro.</w:t>
            </w:r>
          </w:p>
        </w:tc>
      </w:tr>
      <w:tr>
        <w:tc>
          <w:tcPr>
            <w:tcW w:type="dxa" w:w="2880"/>
            <w:shd w:fill="EEF3F2"/>
          </w:tcPr>
          <w:p>
            <w:r/>
            <w:r>
              <w:rPr>
                <w:rFonts w:ascii="Calibri" w:hAnsi="Calibri"/>
                <w:b w:val="0"/>
                <w:sz w:val="19"/>
              </w:rPr>
              <w:t>Inventario</w:t>
            </w:r>
          </w:p>
        </w:tc>
        <w:tc>
          <w:tcPr>
            <w:tcW w:type="dxa" w:w="6912"/>
            <w:shd w:fill="EEF3F2"/>
          </w:tcPr>
          <w:p>
            <w:r/>
            <w:r>
              <w:rPr>
                <w:rFonts w:ascii="Calibri" w:hAnsi="Calibri"/>
                <w:b w:val="0"/>
                <w:sz w:val="19"/>
              </w:rPr>
              <w:t>Control de insumos con alertas de stock bajo, historial de movimientos, y conteo físico con ajuste automático.</w:t>
            </w:r>
          </w:p>
        </w:tc>
      </w:tr>
      <w:tr>
        <w:tc>
          <w:tcPr>
            <w:tcW w:type="dxa" w:w="2880"/>
          </w:tcPr>
          <w:p>
            <w:r/>
            <w:r>
              <w:rPr>
                <w:rFonts w:ascii="Calibri" w:hAnsi="Calibri"/>
                <w:b w:val="0"/>
                <w:sz w:val="19"/>
              </w:rPr>
              <w:t>Facturación</w:t>
            </w:r>
          </w:p>
        </w:tc>
        <w:tc>
          <w:tcPr>
            <w:tcW w:type="dxa" w:w="6912"/>
          </w:tcPr>
          <w:p>
            <w:r/>
            <w:r>
              <w:rPr>
                <w:rFonts w:ascii="Calibri" w:hAnsi="Calibri"/>
                <w:b w:val="0"/>
                <w:sz w:val="19"/>
              </w:rPr>
              <w:t>Generación automática de un comprobante numerado por cada pedido, sin pasos manuales.</w:t>
            </w:r>
          </w:p>
        </w:tc>
      </w:tr>
      <w:tr>
        <w:tc>
          <w:tcPr>
            <w:tcW w:type="dxa" w:w="2880"/>
            <w:shd w:fill="EEF3F2"/>
          </w:tcPr>
          <w:p>
            <w:r/>
            <w:r>
              <w:rPr>
                <w:rFonts w:ascii="Calibri" w:hAnsi="Calibri"/>
                <w:b w:val="0"/>
                <w:sz w:val="19"/>
              </w:rPr>
              <w:t>Corte de caja</w:t>
            </w:r>
          </w:p>
        </w:tc>
        <w:tc>
          <w:tcPr>
            <w:tcW w:type="dxa" w:w="6912"/>
            <w:shd w:fill="EEF3F2"/>
          </w:tcPr>
          <w:p>
            <w:r/>
            <w:r>
              <w:rPr>
                <w:rFonts w:ascii="Calibri" w:hAnsi="Calibri"/>
                <w:b w:val="0"/>
                <w:sz w:val="19"/>
              </w:rPr>
              <w:t>Total cobrado por día, separado por método de pago.</w:t>
            </w:r>
          </w:p>
        </w:tc>
      </w:tr>
      <w:tr>
        <w:tc>
          <w:tcPr>
            <w:tcW w:type="dxa" w:w="2880"/>
          </w:tcPr>
          <w:p>
            <w:r/>
            <w:r>
              <w:rPr>
                <w:rFonts w:ascii="Calibri" w:hAnsi="Calibri"/>
                <w:b w:val="0"/>
                <w:sz w:val="19"/>
              </w:rPr>
              <w:t>Dashboard</w:t>
            </w:r>
          </w:p>
        </w:tc>
        <w:tc>
          <w:tcPr>
            <w:tcW w:type="dxa" w:w="6912"/>
          </w:tcPr>
          <w:p>
            <w:r/>
            <w:r>
              <w:rPr>
                <w:rFonts w:ascii="Calibri" w:hAnsi="Calibri"/>
                <w:b w:val="0"/>
                <w:sz w:val="19"/>
              </w:rPr>
              <w:t>Indicadores y gráficas del negocio: ventas, saldo pendiente, alertas de órdenes atrasadas o sin recoger, y consumo de insumos.</w:t>
            </w:r>
          </w:p>
        </w:tc>
      </w:tr>
    </w:tbl>
    <w:p/>
    <w:p>
      <w:r>
        <w:t>El prototipo se validó de forma iterativa: cada módulo se probó con datos reales capturados a través de la propia interfaz (no datos de prueba inventados a mano en la base de datos), y los cálculos de los indicadores del dashboard se verificaron comparándolos contra consultas SQL directas, confirmando que coinciden exactamente antes de darlos por correctos.</w:t>
      </w:r>
    </w:p>
    <w:p>
      <w:r>
        <w:br w:type="page"/>
      </w:r>
    </w:p>
    <w:p>
      <w:pPr>
        <w:pStyle w:val="Heading1"/>
      </w:pPr>
      <w:r>
        <w:t>Fase 6. Conversión de datos</w:t>
      </w:r>
    </w:p>
    <w:p>
      <w:pPr>
        <w:pStyle w:val="Heading2"/>
      </w:pPr>
      <w:r>
        <w:t>6.1 Tipos de conversión</w:t>
      </w:r>
    </w:p>
    <w:p>
      <w:r>
        <w:t>Existen cuatro estrategias clásicas para pasar de un sistema (o proceso) actual a uno nuevo:</w:t>
      </w:r>
    </w:p>
    <w:tbl>
      <w:tblPr>
        <w:tblStyle w:val="TableGrid"/>
        <w:tblW w:type="auto" w:w="0"/>
        <w:jc w:val="center"/>
        <w:tblLook w:firstColumn="1" w:firstRow="1" w:lastColumn="0" w:lastRow="0" w:noHBand="0" w:noVBand="1" w:val="04A0"/>
      </w:tblPr>
      <w:tblGrid>
        <w:gridCol w:w="4816"/>
        <w:gridCol w:w="4816"/>
      </w:tblGrid>
      <w:tr>
        <w:tc>
          <w:tcPr>
            <w:tcW w:type="dxa" w:w="2304"/>
            <w:shd w:fill="0A524D"/>
          </w:tcPr>
          <w:p>
            <w:r/>
            <w:r>
              <w:rPr>
                <w:rFonts w:ascii="Calibri" w:hAnsi="Calibri"/>
                <w:b/>
                <w:color w:val="FFFFFF"/>
                <w:sz w:val="19"/>
              </w:rPr>
              <w:t>Tipo</w:t>
            </w:r>
          </w:p>
        </w:tc>
        <w:tc>
          <w:tcPr>
            <w:tcW w:type="dxa" w:w="7488"/>
            <w:shd w:fill="0A524D"/>
          </w:tcPr>
          <w:p>
            <w:r/>
            <w:r>
              <w:rPr>
                <w:rFonts w:ascii="Calibri" w:hAnsi="Calibri"/>
                <w:b/>
                <w:color w:val="FFFFFF"/>
                <w:sz w:val="19"/>
              </w:rPr>
              <w:t>En qué consiste</w:t>
            </w:r>
          </w:p>
        </w:tc>
      </w:tr>
      <w:tr>
        <w:tc>
          <w:tcPr>
            <w:tcW w:type="dxa" w:w="2304"/>
          </w:tcPr>
          <w:p>
            <w:r/>
            <w:r>
              <w:rPr>
                <w:rFonts w:ascii="Calibri" w:hAnsi="Calibri"/>
                <w:b w:val="0"/>
                <w:sz w:val="19"/>
              </w:rPr>
              <w:t>Directa (abrupta)</w:t>
            </w:r>
          </w:p>
        </w:tc>
        <w:tc>
          <w:tcPr>
            <w:tcW w:type="dxa" w:w="7488"/>
          </w:tcPr>
          <w:p>
            <w:r/>
            <w:r>
              <w:rPr>
                <w:rFonts w:ascii="Calibri" w:hAnsi="Calibri"/>
                <w:b w:val="0"/>
                <w:sz w:val="19"/>
              </w:rPr>
              <w:t>Se abandona el método anterior de un día para otro y se empieza a usar el sistema nuevo por completo.</w:t>
            </w:r>
          </w:p>
        </w:tc>
      </w:tr>
      <w:tr>
        <w:tc>
          <w:tcPr>
            <w:tcW w:type="dxa" w:w="2304"/>
            <w:shd w:fill="EEF3F2"/>
          </w:tcPr>
          <w:p>
            <w:r/>
            <w:r>
              <w:rPr>
                <w:rFonts w:ascii="Calibri" w:hAnsi="Calibri"/>
                <w:b w:val="0"/>
                <w:sz w:val="19"/>
              </w:rPr>
              <w:t>Paralela</w:t>
            </w:r>
          </w:p>
        </w:tc>
        <w:tc>
          <w:tcPr>
            <w:tcW w:type="dxa" w:w="7488"/>
            <w:shd w:fill="EEF3F2"/>
          </w:tcPr>
          <w:p>
            <w:r/>
            <w:r>
              <w:rPr>
                <w:rFonts w:ascii="Calibri" w:hAnsi="Calibri"/>
                <w:b w:val="0"/>
                <w:sz w:val="19"/>
              </w:rPr>
              <w:t>El método anterior y el sistema nuevo operan al mismo tiempo durante un periodo, comparando resultados antes de depender solo del nuevo.</w:t>
            </w:r>
          </w:p>
        </w:tc>
      </w:tr>
      <w:tr>
        <w:tc>
          <w:tcPr>
            <w:tcW w:type="dxa" w:w="2304"/>
          </w:tcPr>
          <w:p>
            <w:r/>
            <w:r>
              <w:rPr>
                <w:rFonts w:ascii="Calibri" w:hAnsi="Calibri"/>
                <w:b w:val="0"/>
                <w:sz w:val="19"/>
              </w:rPr>
              <w:t>Piloto</w:t>
            </w:r>
          </w:p>
        </w:tc>
        <w:tc>
          <w:tcPr>
            <w:tcW w:type="dxa" w:w="7488"/>
          </w:tcPr>
          <w:p>
            <w:r/>
            <w:r>
              <w:rPr>
                <w:rFonts w:ascii="Calibri" w:hAnsi="Calibri"/>
                <w:b w:val="0"/>
                <w:sz w:val="19"/>
              </w:rPr>
              <w:t>El sistema nuevo se prueba primero con una parte del negocio (un turno, un servicio) antes de extenderlo a todo.</w:t>
            </w:r>
          </w:p>
        </w:tc>
      </w:tr>
      <w:tr>
        <w:tc>
          <w:tcPr>
            <w:tcW w:type="dxa" w:w="2304"/>
            <w:shd w:fill="EEF3F2"/>
          </w:tcPr>
          <w:p>
            <w:r/>
            <w:r>
              <w:rPr>
                <w:rFonts w:ascii="Calibri" w:hAnsi="Calibri"/>
                <w:b w:val="0"/>
                <w:sz w:val="19"/>
              </w:rPr>
              <w:t>Por fases</w:t>
            </w:r>
          </w:p>
        </w:tc>
        <w:tc>
          <w:tcPr>
            <w:tcW w:type="dxa" w:w="7488"/>
            <w:shd w:fill="EEF3F2"/>
          </w:tcPr>
          <w:p>
            <w:r/>
            <w:r>
              <w:rPr>
                <w:rFonts w:ascii="Calibri" w:hAnsi="Calibri"/>
                <w:b w:val="0"/>
                <w:sz w:val="19"/>
              </w:rPr>
              <w:t>El sistema nuevo se habilita módulo por módulo, no todo de una vez.</w:t>
            </w:r>
          </w:p>
        </w:tc>
      </w:tr>
    </w:tbl>
    <w:p/>
    <w:p>
      <w:r>
        <w:t>El caso de ISAI tiene una particularidad: no existe un sistema anterior con datos digitales que migrar, porque la lavandería opera hoy con registro en papel y cobro por tamaño de bolsa. La "conversión" aquí no es trasladar datos de un sistema viejo a uno nuevo, sino reemplazar un proceso manual por uno digital — y ahí es donde más riesgo hay, porque el problema original que resuelve el sistema es precisamente que el cobro por bolsa era inconsistente.</w:t>
      </w:r>
    </w:p>
    <w:p>
      <w:r>
        <w:t>Por esa razón se recomienda una conversión paralela breve (una a dos semanas): durante ese periodo, el operador sigue anotando el pedido en papel como respaldo, pero el cobro real se calcula y se registra en el sistema. Esto permite comparar, pedido por pedido, lo que se habría cobrado con el método anterior contra lo que calcula el sistema, antes de depender de él al cien por ciento. Pasado ese periodo sin diferencias relevantes, se pasa a una conversión directa y se deja de usar el papel.</w:t>
      </w:r>
    </w:p>
    <w:p>
      <w:pPr>
        <w:pStyle w:val="Heading2"/>
      </w:pPr>
      <w:r>
        <w:t>6.2 Validación de la conversión antes-después</w:t>
      </w:r>
    </w:p>
    <w:p>
      <w:r>
        <w:t>La validación se hace en dos frentes, con criterios concretos de verificación:</w:t>
      </w:r>
    </w:p>
    <w:p>
      <w:pPr>
        <w:pStyle w:val="Heading3"/>
      </w:pPr>
      <w:r>
        <w:t>Cobro por pedido</w:t>
      </w:r>
    </w:p>
    <w:p>
      <w:pPr>
        <w:pStyle w:val="ListBullet"/>
      </w:pPr>
      <w:r>
        <w:t>Para una muestra de pedidos reales durante el periodo paralelo, se compara el monto que se habría cobrado por tamaño de bolsa (método anterior) contra el monto calculado por el sistema (peso × tarifa, o pieza/tarifa fija según el servicio).</w:t>
      </w:r>
    </w:p>
    <w:p>
      <w:pPr>
        <w:pStyle w:val="ListBullet"/>
      </w:pPr>
      <w:r>
        <w:t>Cualquier diferencia se documenta y se revisa de inmediato — a diferencia del método anterior, el cálculo del sistema es el mismo para todos los pedidos, así que una diferencia inesperada indica un error de captura (peso mal anotado, servicio equivocado), no del cálculo en sí.</w:t>
      </w:r>
    </w:p>
    <w:p>
      <w:pPr>
        <w:pStyle w:val="Heading3"/>
      </w:pPr>
      <w:r>
        <w:t>Inventario</w:t>
      </w:r>
    </w:p>
    <w:p>
      <w:pPr>
        <w:pStyle w:val="ListBullet"/>
      </w:pPr>
      <w:r>
        <w:t>Antes de empezar a usar el sistema, se hace un conteo físico real de cada insumo y esa cantidad se captura como stock inicial — el sistema ya tiene esta función integrada (módulo de conteo físico), que además exige una nota cuando la diferencia contra lo registrado supera el 5%.</w:t>
      </w:r>
    </w:p>
    <w:p>
      <w:pPr>
        <w:pStyle w:val="ListBullet"/>
      </w:pPr>
      <w:r>
        <w:t>Después de la primera semana de uso, se repite el conteo físico y se compara contra lo que el sistema dice que debería haber, dado los movimientos de entrada y salida registrados en ese periodo.</w:t>
      </w:r>
    </w:p>
    <w:p>
      <w:pPr>
        <w:pStyle w:val="Heading3"/>
      </w:pPr>
      <w:r>
        <w:t>Confiabilidad del motor de cálculo</w:t>
      </w:r>
    </w:p>
    <w:p>
      <w:r>
        <w:t>Como evidencia adicional de que el sistema está listo para la conversión, durante el desarrollo se verificaron repetidamente los cálculos de los módulos de ventas, cobros y saldo pendiente comparándolos contra consultas SQL independientes sobre los mismos datos, confirmando que los resultados coinciden de forma exacta antes de considerarlos correctos.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24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Georgia" w:hAnsi="Georgia"/>
      <w:b/>
      <w:bCs/>
      <w:color w:val="0A524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0A524D"/>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0A524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