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32"/>
          <w:szCs w:val="32"/>
        </w:rPr>
        <w:t xml:space="preserve">ITER, SIKSHA 'O' ANUSANDHAN (Deemed to be University)</w:t>
      </w:r>
    </w:p>
    <w:p>
      <w:pPr>
        <w:spacing w:after="60"/>
        <w:jc w:val="center"/>
      </w:pPr>
      <w:r>
        <w:rPr>
          <w:color w:val="2E75B6"/>
          <w:sz w:val="24"/>
          <w:szCs w:val="24"/>
        </w:rPr>
        <w:t xml:space="preserve">Assignment-2 | IKS4003 – Science and Technology in Ancient India</w:t>
      </w:r>
    </w:p>
    <w:p>
      <w:pPr>
        <w:spacing w:after="60"/>
        <w:jc w:val="center"/>
      </w:pPr>
      <w:r>
        <w:rPr>
          <w:b/>
          <w:bCs/>
          <w:sz w:val="22"/>
          <w:szCs w:val="22"/>
        </w:rPr>
        <w:t xml:space="preserve">Topic: Developments in Science and Technology in Medieval India</w:t>
      </w:r>
    </w:p>
    <w:p>
      <w:pPr>
        <w:spacing w:after="200"/>
        <w:jc w:val="center"/>
      </w:pPr>
      <w:r>
        <w:rPr>
          <w:color w:val="555555"/>
          <w:sz w:val="20"/>
          <w:szCs w:val="20"/>
        </w:rPr>
        <w:t xml:space="preserve">Semester: VIII  |  Academic Year: 2026/Even  |  Branch: CSE / CSIT</w:t>
      </w:r>
    </w:p>
    <w:p>
      <w:pPr>
        <w:pBdr>
          <w:bottom w:val="single" w:color="C9D9EE" w:sz="4" w:space="4"/>
        </w:pBdr>
        <w:spacing w:after="80" w:before="260"/>
      </w:pPr>
      <w:r>
        <w:rPr>
          <w:b/>
          <w:bCs/>
          <w:color w:val="2E75B6"/>
          <w:sz w:val="24"/>
          <w:szCs w:val="24"/>
        </w:rPr>
        <w:t xml:space="preserve">Q1. </w:t>
      </w:r>
      <w:r>
        <w:rPr>
          <w:b/>
          <w:bCs/>
          <w:color w:val="1F3864"/>
          <w:sz w:val="24"/>
          <w:szCs w:val="24"/>
        </w:rPr>
        <w:t xml:space="preserve">Provide one reason why the encephalization factor can or cannot be viewed as a definitive trait of superiority.</w:t>
      </w:r>
    </w:p>
    <w:p>
      <w:pPr>
        <w:spacing w:after="80" w:before="60"/>
        <w:jc w:val="both"/>
      </w:pPr>
      <w:r>
        <w:rPr>
          <w:sz w:val="22"/>
          <w:szCs w:val="22"/>
        </w:rPr>
        <w:t xml:space="preserve">The Encephalization Quotient (EQ) measures brain size relative to body mass. While a higher EQ in humans is often cited as evidence of cognitive superiority, it cannot be viewed as a definitive trait of superiority for the following reason:</w:t>
      </w:r>
    </w:p>
    <w:p>
      <w:pPr>
        <w:spacing w:after="80" w:before="60"/>
        <w:jc w:val="both"/>
      </w:pPr>
      <w:r>
        <w:rPr>
          <w:b/>
          <w:bCs/>
          <w:sz w:val="22"/>
          <w:szCs w:val="22"/>
        </w:rPr>
        <w:t xml:space="preserve">Limitation — Functional Intelligence vs. Brain Size: </w:t>
      </w:r>
      <w:r>
        <w:rPr>
          <w:sz w:val="22"/>
          <w:szCs w:val="22"/>
        </w:rPr>
        <w:t xml:space="preserve">Brain size alone does not determine the quality or depth of intelligence. Dolphins have a relatively high EQ, yet they do not demonstrate the same level of abstract reasoning, tool-making, or cultural transmission as humans. Moreover, within the human species, individuals with smaller absolute brain volumes have demonstrated extraordinary intellectual capabilities. Neuroscientific research confirms that neural connectivity, synaptic density, and the organization of brain regions (particularly the prefrontal cortex) are more indicative of cognitive function than sheer mass or ratio. Therefore, EQ provides a rough comparative metric but fails to capture the nuanced, multi-dimensional nature of intelligence — making it an insufficient and potentially misleading criterion for defining 'superiority'.</w:t>
      </w:r>
    </w:p>
    <w:p>
      <w:pPr>
        <w:pBdr>
          <w:bottom w:val="single" w:color="C9D9EE" w:sz="4" w:space="4"/>
        </w:pBdr>
        <w:spacing w:after="80" w:before="260"/>
      </w:pPr>
      <w:r>
        <w:rPr>
          <w:b/>
          <w:bCs/>
          <w:color w:val="2E75B6"/>
          <w:sz w:val="24"/>
          <w:szCs w:val="24"/>
        </w:rPr>
        <w:t xml:space="preserve">Q2. </w:t>
      </w:r>
      <w:r>
        <w:rPr>
          <w:b/>
          <w:bCs/>
          <w:color w:val="1F3864"/>
          <w:sz w:val="24"/>
          <w:szCs w:val="24"/>
        </w:rPr>
        <w:t xml:space="preserve">How does the dharma tradition integrate physical and metaphysical concepts within the panchakosa-based evolution system?</w:t>
      </w:r>
    </w:p>
    <w:p>
      <w:pPr>
        <w:spacing w:after="80" w:before="60"/>
        <w:jc w:val="both"/>
      </w:pPr>
      <w:r>
        <w:rPr>
          <w:sz w:val="22"/>
          <w:szCs w:val="22"/>
        </w:rPr>
        <w:t xml:space="preserve">The Panchakosa (five-sheaths) model, elaborated in the Taittiriya Upanishad, presents the human being as a layered system of progressively subtler bodies:</w:t>
      </w:r>
    </w:p>
    <w:p>
      <w:pPr>
        <w:pStyle w:val="ListParagraph"/>
        <w:numPr>
          <w:ilvl w:val="0"/>
          <w:numId w:val="2"/>
        </w:numPr>
        <w:spacing w:after="40" w:before="40"/>
      </w:pPr>
      <w:r>
        <w:rPr>
          <w:sz w:val="22"/>
          <w:szCs w:val="22"/>
        </w:rPr>
        <w:t xml:space="preserve">Annamaya Kosha – the physical/food body (material layer)</w:t>
      </w:r>
    </w:p>
    <w:p>
      <w:pPr>
        <w:pStyle w:val="ListParagraph"/>
        <w:numPr>
          <w:ilvl w:val="0"/>
          <w:numId w:val="2"/>
        </w:numPr>
        <w:spacing w:after="40" w:before="40"/>
      </w:pPr>
      <w:r>
        <w:rPr>
          <w:sz w:val="22"/>
          <w:szCs w:val="22"/>
        </w:rPr>
        <w:t xml:space="preserve">Pranamaya Kosha – the vital/breath body (physiological layer)</w:t>
      </w:r>
    </w:p>
    <w:p>
      <w:pPr>
        <w:pStyle w:val="ListParagraph"/>
        <w:numPr>
          <w:ilvl w:val="0"/>
          <w:numId w:val="2"/>
        </w:numPr>
        <w:spacing w:after="40" w:before="40"/>
      </w:pPr>
      <w:r>
        <w:rPr>
          <w:sz w:val="22"/>
          <w:szCs w:val="22"/>
        </w:rPr>
        <w:t xml:space="preserve">Manomaya Kosha – the mental body (psychological layer)</w:t>
      </w:r>
    </w:p>
    <w:p>
      <w:pPr>
        <w:pStyle w:val="ListParagraph"/>
        <w:numPr>
          <w:ilvl w:val="0"/>
          <w:numId w:val="2"/>
        </w:numPr>
        <w:spacing w:after="40" w:before="40"/>
      </w:pPr>
      <w:r>
        <w:rPr>
          <w:sz w:val="22"/>
          <w:szCs w:val="22"/>
        </w:rPr>
        <w:t xml:space="preserve">Vijnanamaya Kosha – the intellectual/discriminative body (epistemic layer)</w:t>
      </w:r>
    </w:p>
    <w:p>
      <w:pPr>
        <w:pStyle w:val="ListParagraph"/>
        <w:numPr>
          <w:ilvl w:val="0"/>
          <w:numId w:val="2"/>
        </w:numPr>
        <w:spacing w:after="40" w:before="40"/>
      </w:pPr>
      <w:r>
        <w:rPr>
          <w:sz w:val="22"/>
          <w:szCs w:val="22"/>
        </w:rPr>
        <w:t xml:space="preserve">Anandamaya Kosha – the bliss body (transcendental layer)</w:t>
      </w:r>
    </w:p>
    <w:p>
      <w:pPr>
        <w:spacing w:after="80" w:before="60"/>
        <w:jc w:val="both"/>
      </w:pPr>
      <w:r>
        <w:rPr>
          <w:sz w:val="22"/>
          <w:szCs w:val="22"/>
        </w:rPr>
        <w:t xml:space="preserve">The dharma tradition integrates physical and metaphysical concepts by treating each kosha as a real dimension of existence, not merely symbolic. The gross physical body (Annamaya) is governed by natural laws of biology and matter, while the subtler sheaths operate through prana (life-force), manas (mind), and buddhi (intellect). The metaphysical dimension enters through the Anandamaya Kosha, which interfaces with the Atman (pure consciousness) — the unchanging witness beyond all sheaths. Dharmic practices such as ahara (regulated diet), pranayama (breath control), dharana (concentration), and dhyana (meditation) are prescribed to purify each respective kosha, facilitating evolution from gross physical existence towards spiritual self-realisation. Thus, dharma bridges physics and metaphysics by providing an integrated path of evolutionary transformation across all five layers of being.</w:t>
      </w:r>
    </w:p>
    <w:p>
      <w:pPr>
        <w:pBdr>
          <w:bottom w:val="single" w:color="C9D9EE" w:sz="4" w:space="4"/>
        </w:pBdr>
        <w:spacing w:after="80" w:before="260"/>
      </w:pPr>
      <w:r>
        <w:rPr>
          <w:b/>
          <w:bCs/>
          <w:color w:val="2E75B6"/>
          <w:sz w:val="24"/>
          <w:szCs w:val="24"/>
        </w:rPr>
        <w:t xml:space="preserve">Q3. </w:t>
      </w:r>
      <w:r>
        <w:rPr>
          <w:b/>
          <w:bCs/>
          <w:color w:val="1F3864"/>
          <w:sz w:val="24"/>
          <w:szCs w:val="24"/>
        </w:rPr>
        <w:t xml:space="preserve">How many seasons are generally mentioned in the Vedic Samhitas? Which planets were known by name in the Vedic period?</w:t>
      </w:r>
    </w:p>
    <w:p>
      <w:pPr>
        <w:spacing w:after="80" w:before="60"/>
        <w:jc w:val="both"/>
      </w:pPr>
      <w:r>
        <w:rPr>
          <w:b/>
          <w:bCs/>
          <w:sz w:val="22"/>
          <w:szCs w:val="22"/>
        </w:rPr>
        <w:t xml:space="preserve">Seasons in the Vedic Samhitas: </w:t>
      </w:r>
      <w:r>
        <w:rPr>
          <w:sz w:val="22"/>
          <w:szCs w:val="22"/>
        </w:rPr>
        <w:t xml:space="preserve">The Vedic Samhitas generally mention six seasons (Shadriitus): Vasanta (Spring), Grishma (Summer), Varsha (Monsoon/Rainy), Sharad (Autumn), Hemanta (Pre-winter), and Shishira (Winter). The Vedic year was thus a hexagonal seasonal model based on close observation of natural cycles.</w:t>
      </w:r>
    </w:p>
    <w:p>
      <w:pPr>
        <w:spacing w:after="80" w:before="60"/>
        <w:jc w:val="both"/>
      </w:pPr>
      <w:r>
        <w:rPr>
          <w:b/>
          <w:bCs/>
          <w:sz w:val="22"/>
          <w:szCs w:val="22"/>
        </w:rPr>
        <w:t xml:space="preserve">Planets Known in the Vedic Period: </w:t>
      </w:r>
      <w:r>
        <w:rPr>
          <w:sz w:val="22"/>
          <w:szCs w:val="22"/>
        </w:rPr>
        <w:t xml:space="preserve">The following planets were identified by name during the Vedic period:</w:t>
      </w:r>
    </w:p>
    <w:p>
      <w:pPr>
        <w:pStyle w:val="ListParagraph"/>
        <w:numPr>
          <w:ilvl w:val="0"/>
          <w:numId w:val="2"/>
        </w:numPr>
        <w:spacing w:after="40" w:before="40"/>
      </w:pPr>
      <w:r>
        <w:rPr>
          <w:sz w:val="22"/>
          <w:szCs w:val="22"/>
        </w:rPr>
        <w:t xml:space="preserve">Shukra (Venus)</w:t>
      </w:r>
    </w:p>
    <w:p>
      <w:pPr>
        <w:pStyle w:val="ListParagraph"/>
        <w:numPr>
          <w:ilvl w:val="0"/>
          <w:numId w:val="2"/>
        </w:numPr>
        <w:spacing w:after="40" w:before="40"/>
      </w:pPr>
      <w:r>
        <w:rPr>
          <w:sz w:val="22"/>
          <w:szCs w:val="22"/>
        </w:rPr>
        <w:t xml:space="preserve">Mangala (Mars)</w:t>
      </w:r>
    </w:p>
    <w:p>
      <w:pPr>
        <w:pStyle w:val="ListParagraph"/>
        <w:numPr>
          <w:ilvl w:val="0"/>
          <w:numId w:val="2"/>
        </w:numPr>
        <w:spacing w:after="40" w:before="40"/>
      </w:pPr>
      <w:r>
        <w:rPr>
          <w:sz w:val="22"/>
          <w:szCs w:val="22"/>
        </w:rPr>
        <w:t xml:space="preserve">Budha (Mercury)</w:t>
      </w:r>
    </w:p>
    <w:p>
      <w:pPr>
        <w:pStyle w:val="ListParagraph"/>
        <w:numPr>
          <w:ilvl w:val="0"/>
          <w:numId w:val="2"/>
        </w:numPr>
        <w:spacing w:after="40" w:before="40"/>
      </w:pPr>
      <w:r>
        <w:rPr>
          <w:sz w:val="22"/>
          <w:szCs w:val="22"/>
        </w:rPr>
        <w:t xml:space="preserve">Brihaspati / Guru (Jupiter)</w:t>
      </w:r>
    </w:p>
    <w:p>
      <w:pPr>
        <w:pStyle w:val="ListParagraph"/>
        <w:numPr>
          <w:ilvl w:val="0"/>
          <w:numId w:val="2"/>
        </w:numPr>
        <w:spacing w:after="40" w:before="40"/>
      </w:pPr>
      <w:r>
        <w:rPr>
          <w:sz w:val="22"/>
          <w:szCs w:val="22"/>
        </w:rPr>
        <w:t xml:space="preserve">Shani (Saturn)</w:t>
      </w:r>
    </w:p>
    <w:p>
      <w:pPr>
        <w:spacing w:after="80" w:before="60"/>
        <w:jc w:val="both"/>
      </w:pPr>
      <w:r>
        <w:rPr>
          <w:sz w:val="22"/>
          <w:szCs w:val="22"/>
        </w:rPr>
        <w:t xml:space="preserve">Additionally, the Sun (Surya) and Moon (Chandra) were treated as luminaries (Grahas). Rahu and Ketu (the lunar nodes) were included in later Vedic-Jyotisha tradition as shadow planets. The Vedanga Jyotisha and Rigveda hymns contain references to these celestial bodies and their movements.</w:t>
      </w:r>
    </w:p>
    <w:p>
      <w:pPr>
        <w:pBdr>
          <w:bottom w:val="single" w:color="C9D9EE" w:sz="4" w:space="4"/>
        </w:pBdr>
        <w:spacing w:after="80" w:before="260"/>
      </w:pPr>
      <w:r>
        <w:rPr>
          <w:b/>
          <w:bCs/>
          <w:color w:val="2E75B6"/>
          <w:sz w:val="24"/>
          <w:szCs w:val="24"/>
        </w:rPr>
        <w:t xml:space="preserve">Q4. </w:t>
      </w:r>
      <w:r>
        <w:rPr>
          <w:b/>
          <w:bCs/>
          <w:color w:val="1F3864"/>
          <w:sz w:val="24"/>
          <w:szCs w:val="24"/>
        </w:rPr>
        <w:t xml:space="preserve">Briefly explain the role of "nadi" and "prana" in the operational aspects of reincarnation.</w:t>
      </w:r>
    </w:p>
    <w:p>
      <w:pPr>
        <w:spacing w:after="80" w:before="60"/>
        <w:jc w:val="both"/>
      </w:pPr>
      <w:r>
        <w:rPr>
          <w:b/>
          <w:bCs/>
          <w:sz w:val="22"/>
          <w:szCs w:val="22"/>
        </w:rPr>
        <w:t xml:space="preserve">Nadi: </w:t>
      </w:r>
      <w:r>
        <w:rPr>
          <w:sz w:val="22"/>
          <w:szCs w:val="22"/>
        </w:rPr>
        <w:t xml:space="preserve">In Indian metaphysical tradition, nadis are subtle channels or energy pathways through which prana (vital life force) flows throughout the subtle body (sukshma sharira). There are said to be 72,000 nadis, with the three principal ones being Ida (left/lunar), Pingala (right/solar), and Sushumna (central channel running through the spinal axis).</w:t>
      </w:r>
    </w:p>
    <w:p>
      <w:pPr>
        <w:spacing w:after="80" w:before="60"/>
        <w:jc w:val="both"/>
      </w:pPr>
      <w:r>
        <w:rPr>
          <w:b/>
          <w:bCs/>
          <w:sz w:val="22"/>
          <w:szCs w:val="22"/>
        </w:rPr>
        <w:t xml:space="preserve">Prana: </w:t>
      </w:r>
      <w:r>
        <w:rPr>
          <w:sz w:val="22"/>
          <w:szCs w:val="22"/>
        </w:rPr>
        <w:t xml:space="preserve">Prana is the cosmic life energy that animates all living beings. Within the body, prana manifests as five vayus: Prana (inward breath), Apana (downward/elimination), Samana (assimilation), Udana (upward/expressive), and Vyana (pervasive circulation).</w:t>
      </w:r>
    </w:p>
    <w:p>
      <w:pPr>
        <w:spacing w:after="80" w:before="60"/>
        <w:jc w:val="both"/>
      </w:pPr>
      <w:r>
        <w:rPr>
          <w:b/>
          <w:bCs/>
          <w:sz w:val="22"/>
          <w:szCs w:val="22"/>
        </w:rPr>
        <w:t xml:space="preserve">Role in Reincarnation: </w:t>
      </w:r>
      <w:r>
        <w:rPr>
          <w:sz w:val="22"/>
          <w:szCs w:val="22"/>
        </w:rPr>
        <w:t xml:space="preserve">At the time of death, the gross physical body (Annamaya Kosha) dissolves. However, the subtle body — comprising prana, mind, and the causal body of samskaras (latent impressions) — persists. Prana withdraws from the peripheral nadis inward, eventually concentrating in the Sushumna. The departing jivatman (individual soul) carries its accumulated karmic impressions through the subtle body. The Prashnopanishad and Chandogya Upanishad describe how prana guides the soul through the appropriate cosmic pathways (the pitriyana or devayana) depending on its karmic merit, leading to either rebirth or liberation. Thus, the nadis serve as the infrastructure and prana as the carrier force in the journey of the soul between death and reincarnation.</w:t>
      </w:r>
    </w:p>
    <w:p>
      <w:pPr>
        <w:pBdr>
          <w:bottom w:val="single" w:color="C9D9EE" w:sz="4" w:space="4"/>
        </w:pBdr>
        <w:spacing w:after="80" w:before="260"/>
      </w:pPr>
      <w:r>
        <w:rPr>
          <w:b/>
          <w:bCs/>
          <w:color w:val="2E75B6"/>
          <w:sz w:val="24"/>
          <w:szCs w:val="24"/>
        </w:rPr>
        <w:t xml:space="preserve">Q5. </w:t>
      </w:r>
      <w:r>
        <w:rPr>
          <w:b/>
          <w:bCs/>
          <w:color w:val="1F3864"/>
          <w:sz w:val="24"/>
          <w:szCs w:val="24"/>
        </w:rPr>
        <w:t xml:space="preserve">What is the earliest evidence of copper use in India?</w:t>
      </w:r>
    </w:p>
    <w:p>
      <w:pPr>
        <w:spacing w:after="80" w:before="60"/>
        <w:jc w:val="both"/>
      </w:pPr>
      <w:r>
        <w:rPr>
          <w:sz w:val="22"/>
          <w:szCs w:val="22"/>
        </w:rPr>
        <w:t xml:space="preserve">The earliest evidence of copper use in India dates back to approximately 3000–2800 BCE, found at sites associated with the Chalcolithic (Copper Age) period. Key evidence includes:</w:t>
      </w:r>
    </w:p>
    <w:p>
      <w:pPr>
        <w:pStyle w:val="ListParagraph"/>
        <w:numPr>
          <w:ilvl w:val="0"/>
          <w:numId w:val="2"/>
        </w:numPr>
        <w:spacing w:after="40" w:before="40"/>
      </w:pPr>
      <w:r>
        <w:rPr>
          <w:sz w:val="22"/>
          <w:szCs w:val="22"/>
        </w:rPr>
        <w:t xml:space="preserve">Ganeshwar (Rajasthan): Considered one of the oldest copper-smelting sites in India, dating to around 2800–2500 BCE. Thousands of copper artefacts including arrowheads, spearheads, fishhooks, and axes have been excavated here. Ganeshwar is believed to have been a major supplier of copper to the Harappan Civilisation.</w:t>
      </w:r>
    </w:p>
    <w:p>
      <w:pPr>
        <w:pStyle w:val="ListParagraph"/>
        <w:numPr>
          <w:ilvl w:val="0"/>
          <w:numId w:val="2"/>
        </w:numPr>
        <w:spacing w:after="40" w:before="40"/>
      </w:pPr>
      <w:r>
        <w:rPr>
          <w:sz w:val="22"/>
          <w:szCs w:val="22"/>
        </w:rPr>
        <w:t xml:space="preserve">Harappan Civilisation (2600–1900 BCE): Copper artefacts including vessels, tools, figurines, and ornaments have been extensively found at Mohenjo-daro, Harappa, Lothal, and Dholavira, confirming widespread copper technology.</w:t>
      </w:r>
    </w:p>
    <w:p>
      <w:pPr>
        <w:pStyle w:val="ListParagraph"/>
        <w:numPr>
          <w:ilvl w:val="0"/>
          <w:numId w:val="2"/>
        </w:numPr>
        <w:spacing w:after="40" w:before="40"/>
      </w:pPr>
      <w:r>
        <w:rPr>
          <w:sz w:val="22"/>
          <w:szCs w:val="22"/>
        </w:rPr>
        <w:t xml:space="preserve">Ahar Culture (Rajasthan, ~3000 BCE): Archaeological finds at Ahar (also called Tambavati – 'place of copper') include copper tools and smelting evidence predating the mature Harappan phase.</w:t>
      </w:r>
    </w:p>
    <w:p>
      <w:pPr>
        <w:spacing w:after="80" w:before="60"/>
        <w:jc w:val="both"/>
      </w:pPr>
      <w:r>
        <w:rPr>
          <w:sz w:val="22"/>
          <w:szCs w:val="22"/>
        </w:rPr>
        <w:t xml:space="preserve">The source of copper was primarily the Khetri copper mines of Rajasthan, which have been continuously mined since prehistoric times. The archaeological record confirms that India had an independent and advanced early tradition of copper metallurgy.</w:t>
      </w:r>
    </w:p>
    <w:p>
      <w:pPr>
        <w:pBdr>
          <w:bottom w:val="single" w:color="C9D9EE" w:sz="4" w:space="4"/>
        </w:pBdr>
        <w:spacing w:after="80" w:before="260"/>
      </w:pPr>
      <w:r>
        <w:rPr>
          <w:b/>
          <w:bCs/>
          <w:color w:val="2E75B6"/>
          <w:sz w:val="24"/>
          <w:szCs w:val="24"/>
        </w:rPr>
        <w:t xml:space="preserve">Q6. </w:t>
      </w:r>
      <w:r>
        <w:rPr>
          <w:b/>
          <w:bCs/>
          <w:color w:val="1F3864"/>
          <w:sz w:val="24"/>
          <w:szCs w:val="24"/>
        </w:rPr>
        <w:t xml:space="preserve">How did Harappans use copper and bronze?</w:t>
      </w:r>
    </w:p>
    <w:p>
      <w:pPr>
        <w:spacing w:after="80" w:before="60"/>
        <w:jc w:val="both"/>
      </w:pPr>
      <w:r>
        <w:rPr>
          <w:sz w:val="22"/>
          <w:szCs w:val="22"/>
        </w:rPr>
        <w:t xml:space="preserve">The Harappan Civilisation (c. 2600–1900 BCE) demonstrated a sophisticated mastery of copper and bronze technology. Their uses can be categorised as follows:</w:t>
      </w:r>
    </w:p>
    <w:p>
      <w:pPr>
        <w:spacing w:after="80" w:before="60"/>
        <w:jc w:val="both"/>
      </w:pPr>
      <w:r>
        <w:rPr>
          <w:b/>
          <w:bCs/>
          <w:sz w:val="22"/>
          <w:szCs w:val="22"/>
        </w:rPr>
        <w:t xml:space="preserve">1. Tools and Implements: </w:t>
      </w:r>
      <w:r>
        <w:rPr>
          <w:sz w:val="22"/>
          <w:szCs w:val="22"/>
        </w:rPr>
        <w:t xml:space="preserve">Flat axes, chisels, saws, knives, fish hooks, razors, needles, and drill bits were made from copper. These were essential for carpentry, leatherwork, and daily manufacturing.</w:t>
      </w:r>
    </w:p>
    <w:p>
      <w:pPr>
        <w:spacing w:after="80" w:before="60"/>
        <w:jc w:val="both"/>
      </w:pPr>
      <w:r>
        <w:rPr>
          <w:b/>
          <w:bCs/>
          <w:sz w:val="22"/>
          <w:szCs w:val="22"/>
        </w:rPr>
        <w:t xml:space="preserve">2. Weapons: </w:t>
      </w:r>
      <w:r>
        <w:rPr>
          <w:sz w:val="22"/>
          <w:szCs w:val="22"/>
        </w:rPr>
        <w:t xml:space="preserve">Spearheads, arrowheads, and daggers were cast from copper and bronze, indicating organised military or hunting use.</w:t>
      </w:r>
    </w:p>
    <w:p>
      <w:pPr>
        <w:spacing w:after="80" w:before="60"/>
        <w:jc w:val="both"/>
      </w:pPr>
      <w:r>
        <w:rPr>
          <w:b/>
          <w:bCs/>
          <w:sz w:val="22"/>
          <w:szCs w:val="22"/>
        </w:rPr>
        <w:t xml:space="preserve">3. Vessels and Utensils: </w:t>
      </w:r>
      <w:r>
        <w:rPr>
          <w:sz w:val="22"/>
          <w:szCs w:val="22"/>
        </w:rPr>
        <w:t xml:space="preserve">Copper pots, pans, and storage vessels have been found at major Harappan sites, reflecting domestic and ritual use.</w:t>
      </w:r>
    </w:p>
    <w:p>
      <w:pPr>
        <w:spacing w:after="80" w:before="60"/>
        <w:jc w:val="both"/>
      </w:pPr>
      <w:r>
        <w:rPr>
          <w:b/>
          <w:bCs/>
          <w:sz w:val="22"/>
          <w:szCs w:val="22"/>
        </w:rPr>
        <w:t xml:space="preserve">4. Figurines and Ornaments: </w:t>
      </w:r>
      <w:r>
        <w:rPr>
          <w:sz w:val="22"/>
          <w:szCs w:val="22"/>
        </w:rPr>
        <w:t xml:space="preserve">The famous 'Dancing Girl' bronze figurine from Mohenjo-daro (c. 2300 BCE) demonstrates advanced lost-wax (cire perdue) casting technique. Copper ornaments such as bangles, rings, and beads were common.</w:t>
      </w:r>
    </w:p>
    <w:p>
      <w:pPr>
        <w:spacing w:after="80" w:before="60"/>
        <w:jc w:val="both"/>
      </w:pPr>
      <w:r>
        <w:rPr>
          <w:b/>
          <w:bCs/>
          <w:sz w:val="22"/>
          <w:szCs w:val="22"/>
        </w:rPr>
        <w:t xml:space="preserve">5. Bronze Alloy Technology: </w:t>
      </w:r>
      <w:r>
        <w:rPr>
          <w:sz w:val="22"/>
          <w:szCs w:val="22"/>
        </w:rPr>
        <w:t xml:space="preserve">Harappans alloyed copper with tin to produce bronze (typically 5–15% tin). Bronze was harder and more durable than pure copper. Some artefacts also show arsenical copper, suggesting experimentation with alloying techniques.</w:t>
      </w:r>
    </w:p>
    <w:p>
      <w:pPr>
        <w:spacing w:after="80" w:before="60"/>
        <w:jc w:val="both"/>
      </w:pPr>
      <w:r>
        <w:rPr>
          <w:b/>
          <w:bCs/>
          <w:sz w:val="22"/>
          <w:szCs w:val="22"/>
        </w:rPr>
        <w:t xml:space="preserve">6. Trade: </w:t>
      </w:r>
      <w:r>
        <w:rPr>
          <w:sz w:val="22"/>
          <w:szCs w:val="22"/>
        </w:rPr>
        <w:t xml:space="preserve">Standardised copper ingots were likely used as a medium of trade. Copper artefacts have been found along Harappan trade routes extending to Mesopotamia and the Persian Gulf.</w:t>
      </w:r>
    </w:p>
    <w:p>
      <w:pPr>
        <w:pBdr>
          <w:bottom w:val="single" w:color="C9D9EE" w:sz="4" w:space="4"/>
        </w:pBdr>
        <w:spacing w:after="80" w:before="260"/>
      </w:pPr>
      <w:r>
        <w:rPr>
          <w:b/>
          <w:bCs/>
          <w:color w:val="2E75B6"/>
          <w:sz w:val="24"/>
          <w:szCs w:val="24"/>
        </w:rPr>
        <w:t xml:space="preserve">Q7. </w:t>
      </w:r>
      <w:r>
        <w:rPr>
          <w:b/>
          <w:bCs/>
          <w:color w:val="1F3864"/>
          <w:sz w:val="24"/>
          <w:szCs w:val="24"/>
        </w:rPr>
        <w:t xml:space="preserve">Define Purushartha and explain how it serves as a "live demonstration" as described by an acharya.</w:t>
      </w:r>
    </w:p>
    <w:p>
      <w:pPr>
        <w:spacing w:after="80" w:before="60"/>
        <w:jc w:val="both"/>
      </w:pPr>
      <w:r>
        <w:rPr>
          <w:b/>
          <w:bCs/>
          <w:sz w:val="22"/>
          <w:szCs w:val="22"/>
        </w:rPr>
        <w:t xml:space="preserve">Definition: </w:t>
      </w:r>
      <w:r>
        <w:rPr>
          <w:sz w:val="22"/>
          <w:szCs w:val="22"/>
        </w:rPr>
        <w:t xml:space="preserve">Purushartha (Sanskrit: पुरुषार्थ) literally means 'that which is sought/aimed at by a person (purusha).' It refers to the four cardinal goals of human life in the Hindu philosophical framework:</w:t>
      </w:r>
    </w:p>
    <w:p>
      <w:pPr>
        <w:pStyle w:val="ListParagraph"/>
        <w:numPr>
          <w:ilvl w:val="0"/>
          <w:numId w:val="2"/>
        </w:numPr>
        <w:spacing w:after="40" w:before="40"/>
      </w:pPr>
      <w:r>
        <w:rPr>
          <w:sz w:val="22"/>
          <w:szCs w:val="22"/>
        </w:rPr>
        <w:t xml:space="preserve">Dharma – righteous conduct, duty, moral order</w:t>
      </w:r>
    </w:p>
    <w:p>
      <w:pPr>
        <w:pStyle w:val="ListParagraph"/>
        <w:numPr>
          <w:ilvl w:val="0"/>
          <w:numId w:val="2"/>
        </w:numPr>
        <w:spacing w:after="40" w:before="40"/>
      </w:pPr>
      <w:r>
        <w:rPr>
          <w:sz w:val="22"/>
          <w:szCs w:val="22"/>
        </w:rPr>
        <w:t xml:space="preserve">Artha – material prosperity, wealth, and security</w:t>
      </w:r>
    </w:p>
    <w:p>
      <w:pPr>
        <w:pStyle w:val="ListParagraph"/>
        <w:numPr>
          <w:ilvl w:val="0"/>
          <w:numId w:val="2"/>
        </w:numPr>
        <w:spacing w:after="40" w:before="40"/>
      </w:pPr>
      <w:r>
        <w:rPr>
          <w:sz w:val="22"/>
          <w:szCs w:val="22"/>
        </w:rPr>
        <w:t xml:space="preserve">Kama – desire, pleasure, and aesthetic fulfilment</w:t>
      </w:r>
    </w:p>
    <w:p>
      <w:pPr>
        <w:pStyle w:val="ListParagraph"/>
        <w:numPr>
          <w:ilvl w:val="0"/>
          <w:numId w:val="2"/>
        </w:numPr>
        <w:spacing w:after="40" w:before="40"/>
      </w:pPr>
      <w:r>
        <w:rPr>
          <w:sz w:val="22"/>
          <w:szCs w:val="22"/>
        </w:rPr>
        <w:t xml:space="preserve">Moksha – liberation, spiritual emancipation</w:t>
      </w:r>
    </w:p>
    <w:p>
      <w:pPr>
        <w:spacing w:after="80" w:before="60"/>
        <w:jc w:val="both"/>
      </w:pPr>
      <w:r>
        <w:rPr>
          <w:b/>
          <w:bCs/>
          <w:sz w:val="22"/>
          <w:szCs w:val="22"/>
        </w:rPr>
        <w:t xml:space="preserve">As a 'Live Demonstration': </w:t>
      </w:r>
      <w:r>
        <w:rPr>
          <w:sz w:val="22"/>
          <w:szCs w:val="22"/>
        </w:rPr>
        <w:t xml:space="preserve">An acharya (teacher) in the dharma tradition does not merely lecture about the Purusharthas theoretically. Rather, the acharya's own life serves as a living embodiment — a 'live demonstration' — of how these four goals are simultaneously integrated and fulfilled without contradiction. The acharya demonstrates through personal conduct that Dharma (ethical living) supports Artha (means of livelihood), both regulate Kama (desires), and all three are ultimately transcended in Moksha. This is contrasted with a reductionist view where these goals are seen as competing. The acharya shows through lived experience (anubhava) that genuine prosperity, righteous action, wholesome desire, and inner freedom can co-exist harmoniously — making the teaching experiential and not merely intellectual. This direct demonstration is considered more powerful than any scriptural exposition.</w:t>
      </w:r>
    </w:p>
    <w:p>
      <w:pPr>
        <w:pBdr>
          <w:bottom w:val="single" w:color="C9D9EE" w:sz="4" w:space="4"/>
        </w:pBdr>
        <w:spacing w:after="80" w:before="260"/>
      </w:pPr>
      <w:r>
        <w:rPr>
          <w:b/>
          <w:bCs/>
          <w:color w:val="2E75B6"/>
          <w:sz w:val="24"/>
          <w:szCs w:val="24"/>
        </w:rPr>
        <w:t xml:space="preserve">Q8. </w:t>
      </w:r>
      <w:r>
        <w:rPr>
          <w:b/>
          <w:bCs/>
          <w:color w:val="1F3864"/>
          <w:sz w:val="24"/>
          <w:szCs w:val="24"/>
        </w:rPr>
        <w:t xml:space="preserve">How does the practice of yoga allow an individual to experientially observe the chakra system?</w:t>
      </w:r>
    </w:p>
    <w:p>
      <w:pPr>
        <w:spacing w:after="80" w:before="60"/>
        <w:jc w:val="both"/>
      </w:pPr>
      <w:r>
        <w:rPr>
          <w:sz w:val="22"/>
          <w:szCs w:val="22"/>
        </w:rPr>
        <w:t xml:space="preserve">The chakra system is a psycho-spiritual model describing seven principal energy centres (chakras) located along the Sushumna nadi, from the base of the spine to the crown of the head. Yoga provides a systematic experiential methodology to directly perceive these centres:</w:t>
      </w:r>
    </w:p>
    <w:p>
      <w:pPr>
        <w:spacing w:after="80" w:before="60"/>
        <w:jc w:val="both"/>
      </w:pPr>
      <w:r>
        <w:rPr>
          <w:b/>
          <w:bCs/>
          <w:sz w:val="22"/>
          <w:szCs w:val="22"/>
        </w:rPr>
        <w:t xml:space="preserve">1. Pranayama (Breath Control): </w:t>
      </w:r>
      <w:r>
        <w:rPr>
          <w:sz w:val="22"/>
          <w:szCs w:val="22"/>
        </w:rPr>
        <w:t xml:space="preserve">Practices such as Nadi Shodhana (alternate nostril breathing), Kapalabhati, and Bhastrika activate the flow of prana within the Ida and Pingala nadis, building pranic energy that eventually enters the Sushumna — the pathway through which chakra activation occurs.</w:t>
      </w:r>
    </w:p>
    <w:p>
      <w:pPr>
        <w:spacing w:after="80" w:before="60"/>
        <w:jc w:val="both"/>
      </w:pPr>
      <w:r>
        <w:rPr>
          <w:b/>
          <w:bCs/>
          <w:sz w:val="22"/>
          <w:szCs w:val="22"/>
        </w:rPr>
        <w:t xml:space="preserve">2. Asana (Physical Postures): </w:t>
      </w:r>
      <w:r>
        <w:rPr>
          <w:sz w:val="22"/>
          <w:szCs w:val="22"/>
        </w:rPr>
        <w:t xml:space="preserve">Specific asanas stimulate regions of the body corresponding to particular chakras. For example, Mula Bandha activates Muladhara; backbends stimulate Anahata (heart chakra); inversions influence Ajna (third eye) and Sahasrara.</w:t>
      </w:r>
    </w:p>
    <w:p>
      <w:pPr>
        <w:spacing w:after="80" w:before="60"/>
        <w:jc w:val="both"/>
      </w:pPr>
      <w:r>
        <w:rPr>
          <w:b/>
          <w:bCs/>
          <w:sz w:val="22"/>
          <w:szCs w:val="22"/>
        </w:rPr>
        <w:t xml:space="preserve">3. Dharana and Dhyana (Concentration and Meditation): </w:t>
      </w:r>
      <w:r>
        <w:rPr>
          <w:sz w:val="22"/>
          <w:szCs w:val="22"/>
        </w:rPr>
        <w:t xml:space="preserve">Sustained concentration on a specific chakra (e.g., visualising the four-petalled lotus at Muladhara) allows the practitioner to become directly aware of the energetic activity, associated emotions, and psychic qualities of that centre.</w:t>
      </w:r>
    </w:p>
    <w:p>
      <w:pPr>
        <w:spacing w:after="80" w:before="60"/>
        <w:jc w:val="both"/>
      </w:pPr>
      <w:r>
        <w:rPr>
          <w:b/>
          <w:bCs/>
          <w:sz w:val="22"/>
          <w:szCs w:val="22"/>
        </w:rPr>
        <w:t xml:space="preserve">4. Kundalini Awakening: </w:t>
      </w:r>
      <w:r>
        <w:rPr>
          <w:sz w:val="22"/>
          <w:szCs w:val="22"/>
        </w:rPr>
        <w:t xml:space="preserve">Advanced yogic practices aim to awaken the dormant Kundalini Shakti (coiled energy at Muladhara), allowing it to rise through successive chakras. Each awakening brings distinct experiential states — increased vitality, expanded emotional intelligence, creative power, compassionate awareness, intuitive perception, and ultimately, pure non-dual consciousness at Sahasrara.</w:t>
      </w:r>
    </w:p>
    <w:p>
      <w:pPr>
        <w:spacing w:after="80" w:before="60"/>
        <w:jc w:val="both"/>
      </w:pPr>
      <w:r>
        <w:rPr>
          <w:sz w:val="22"/>
          <w:szCs w:val="22"/>
        </w:rPr>
        <w:t xml:space="preserve">Thus, yoga transforms the chakra system from a theoretical map into a directly verifiable experiential reality within the practitioner's own consciousness.</w:t>
      </w:r>
    </w:p>
    <w:p>
      <w:pPr>
        <w:pBdr>
          <w:bottom w:val="single" w:color="C9D9EE" w:sz="4" w:space="4"/>
        </w:pBdr>
        <w:spacing w:after="80" w:before="260"/>
      </w:pPr>
      <w:r>
        <w:rPr>
          <w:b/>
          <w:bCs/>
          <w:color w:val="2E75B6"/>
          <w:sz w:val="24"/>
          <w:szCs w:val="24"/>
        </w:rPr>
        <w:t xml:space="preserve">Q9. </w:t>
      </w:r>
      <w:r>
        <w:rPr>
          <w:b/>
          <w:bCs/>
          <w:color w:val="1F3864"/>
          <w:sz w:val="24"/>
          <w:szCs w:val="24"/>
        </w:rPr>
        <w:t xml:space="preserve">How was gold obtained and used in ancient India? What is the significance of silver production in ancient India?</w:t>
      </w:r>
    </w:p>
    <w:p>
      <w:pPr>
        <w:spacing w:after="80" w:before="60"/>
        <w:jc w:val="both"/>
      </w:pPr>
      <w:r>
        <w:rPr>
          <w:b/>
          <w:bCs/>
          <w:sz w:val="22"/>
          <w:szCs w:val="22"/>
        </w:rPr>
        <w:t xml:space="preserve">Gold — Obtaining and Uses: </w:t>
      </w:r>
      <w:r>
        <w:rPr>
          <w:sz w:val="22"/>
          <w:szCs w:val="22"/>
        </w:rPr>
        <w:t xml:space="preserve">Gold was obtained in ancient India through several methods:</w:t>
      </w:r>
    </w:p>
    <w:p>
      <w:pPr>
        <w:pStyle w:val="ListParagraph"/>
        <w:numPr>
          <w:ilvl w:val="0"/>
          <w:numId w:val="2"/>
        </w:numPr>
        <w:spacing w:after="40" w:before="40"/>
      </w:pPr>
      <w:r>
        <w:rPr>
          <w:sz w:val="22"/>
          <w:szCs w:val="22"/>
        </w:rPr>
        <w:t xml:space="preserve">Placer/Alluvial Mining: Gold was panned from river sediments, particularly from the rivers of Karnataka (Kolar), Himalayas, and rivers in present-day Andhra Pradesh.</w:t>
      </w:r>
    </w:p>
    <w:p>
      <w:pPr>
        <w:pStyle w:val="ListParagraph"/>
        <w:numPr>
          <w:ilvl w:val="0"/>
          <w:numId w:val="2"/>
        </w:numPr>
        <w:spacing w:after="40" w:before="40"/>
      </w:pPr>
      <w:r>
        <w:rPr>
          <w:sz w:val="22"/>
          <w:szCs w:val="22"/>
        </w:rPr>
        <w:t xml:space="preserve">Hard Rock Mining: Underground mining was practised at Kolar Gold Fields (Karnataka), with evidence suggesting ancient mining activity dating back over 2,000 years.</w:t>
      </w:r>
    </w:p>
    <w:p>
      <w:pPr>
        <w:pStyle w:val="ListParagraph"/>
        <w:numPr>
          <w:ilvl w:val="0"/>
          <w:numId w:val="2"/>
        </w:numPr>
        <w:spacing w:after="40" w:before="40"/>
      </w:pPr>
      <w:r>
        <w:rPr>
          <w:sz w:val="22"/>
          <w:szCs w:val="22"/>
        </w:rPr>
        <w:t xml:space="preserve">Trade: Gold was also imported via maritime and overland trade routes from Central Asia, Arabia, and Southeast Asia.</w:t>
      </w:r>
    </w:p>
    <w:p>
      <w:pPr>
        <w:spacing w:after="80" w:before="60"/>
        <w:jc w:val="both"/>
      </w:pPr>
      <w:r>
        <w:rPr>
          <w:sz w:val="22"/>
          <w:szCs w:val="22"/>
        </w:rPr>
        <w:t xml:space="preserve">Gold was used in jewellery, coinage (gold panas and dinars), temple ornaments, ritual vessels, manuscript covers, and Ayurvedic preparations (Swarna Bhasma — gold ash used medicinally). The Arthashastra of Kautilya (c. 3rd century BCE) provides detailed regulations on gold mining, assaying, and the role of suvarnadhyaksha (superintendent of gold).</w:t>
      </w:r>
    </w:p>
    <w:p>
      <w:pPr>
        <w:spacing w:after="80" w:before="60"/>
        <w:jc w:val="both"/>
      </w:pPr>
      <w:r>
        <w:rPr>
          <w:b/>
          <w:bCs/>
          <w:sz w:val="22"/>
          <w:szCs w:val="22"/>
        </w:rPr>
        <w:t xml:space="preserve">Significance of Silver Production: </w:t>
      </w:r>
      <w:r>
        <w:rPr>
          <w:sz w:val="22"/>
          <w:szCs w:val="22"/>
        </w:rPr>
        <w:t xml:space="preserve">Silver held major economic and ritual significance. Archaeological evidence from the Harappan period includes silver ornaments and vessels. Arthashastra describes silver production from ores (galena/argentite) in regions of Rajasthan and Karnataka. Silver was:</w:t>
      </w:r>
    </w:p>
    <w:p>
      <w:pPr>
        <w:pStyle w:val="ListParagraph"/>
        <w:numPr>
          <w:ilvl w:val="0"/>
          <w:numId w:val="2"/>
        </w:numPr>
        <w:spacing w:after="40" w:before="40"/>
      </w:pPr>
      <w:r>
        <w:rPr>
          <w:sz w:val="22"/>
          <w:szCs w:val="22"/>
        </w:rPr>
        <w:t xml:space="preserve">Used as the primary coinage metal (the silver karshapana and pana were standard monetary units in Mauryan and post-Mauryan periods)</w:t>
      </w:r>
    </w:p>
    <w:p>
      <w:pPr>
        <w:pStyle w:val="ListParagraph"/>
        <w:numPr>
          <w:ilvl w:val="0"/>
          <w:numId w:val="2"/>
        </w:numPr>
        <w:spacing w:after="40" w:before="40"/>
      </w:pPr>
      <w:r>
        <w:rPr>
          <w:sz w:val="22"/>
          <w:szCs w:val="22"/>
        </w:rPr>
        <w:t xml:space="preserve">Employed in high-value trade transactions across the ancient Silk Road and Indian Ocean networks</w:t>
      </w:r>
    </w:p>
    <w:p>
      <w:pPr>
        <w:pStyle w:val="ListParagraph"/>
        <w:numPr>
          <w:ilvl w:val="0"/>
          <w:numId w:val="2"/>
        </w:numPr>
        <w:spacing w:after="40" w:before="40"/>
      </w:pPr>
      <w:r>
        <w:rPr>
          <w:sz w:val="22"/>
          <w:szCs w:val="22"/>
        </w:rPr>
        <w:t xml:space="preserve">Used in Ayurvedic medicine as Rajat Bhasma (silver ash) for its antimicrobial and rejuvenating properties</w:t>
      </w:r>
    </w:p>
    <w:p>
      <w:pPr>
        <w:pStyle w:val="ListParagraph"/>
        <w:numPr>
          <w:ilvl w:val="0"/>
          <w:numId w:val="2"/>
        </w:numPr>
        <w:spacing w:after="40" w:before="40"/>
      </w:pPr>
      <w:r>
        <w:rPr>
          <w:sz w:val="22"/>
          <w:szCs w:val="22"/>
        </w:rPr>
        <w:t xml:space="preserve">Significant in ritual items, temple utensils, and royal regalia</w:t>
      </w:r>
    </w:p>
    <w:p>
      <w:pPr>
        <w:spacing w:after="80" w:before="60"/>
        <w:jc w:val="both"/>
      </w:pPr>
      <w:r>
        <w:rPr>
          <w:sz w:val="22"/>
          <w:szCs w:val="22"/>
        </w:rPr>
        <w:t xml:space="preserve">Thus, both gold and silver underpinned the ancient Indian economy and reflected advanced metallurgical knowledge.</w:t>
      </w:r>
    </w:p>
    <w:p>
      <w:pPr>
        <w:pBdr>
          <w:bottom w:val="single" w:color="C9D9EE" w:sz="4" w:space="4"/>
        </w:pBdr>
        <w:spacing w:after="80" w:before="260"/>
      </w:pPr>
      <w:r>
        <w:rPr>
          <w:b/>
          <w:bCs/>
          <w:color w:val="2E75B6"/>
          <w:sz w:val="24"/>
          <w:szCs w:val="24"/>
        </w:rPr>
        <w:t xml:space="preserve">Q10. </w:t>
      </w:r>
      <w:r>
        <w:rPr>
          <w:b/>
          <w:bCs/>
          <w:color w:val="1F3864"/>
          <w:sz w:val="24"/>
          <w:szCs w:val="24"/>
        </w:rPr>
        <w:t xml:space="preserve">Explain the metaphor of logic as the "cement" between the two stones of science and spirituality.</w:t>
      </w:r>
    </w:p>
    <w:p>
      <w:pPr>
        <w:spacing w:after="80" w:before="60"/>
        <w:jc w:val="both"/>
      </w:pPr>
      <w:r>
        <w:rPr>
          <w:sz w:val="22"/>
          <w:szCs w:val="22"/>
        </w:rPr>
        <w:t xml:space="preserve">This metaphor articulates the essential mediating function of logic (tarka/yukti) in integrating the apparently divergent domains of science (objective empirical inquiry) and spirituality (subjective transcendental inquiry).</w:t>
      </w:r>
    </w:p>
    <w:p>
      <w:pPr>
        <w:spacing w:after="80" w:before="60"/>
        <w:jc w:val="both"/>
      </w:pPr>
      <w:r>
        <w:rPr>
          <w:b/>
          <w:bCs/>
          <w:sz w:val="22"/>
          <w:szCs w:val="22"/>
        </w:rPr>
        <w:t xml:space="preserve">Science as the First Stone: </w:t>
      </w:r>
      <w:r>
        <w:rPr>
          <w:sz w:val="22"/>
          <w:szCs w:val="22"/>
        </w:rPr>
        <w:t xml:space="preserve">Science deals with the observable, measurable, and reproducible aspects of reality. It is grounded in sensory evidence (pratyaksha) and inference from data (anumana). Without a rational framework, spiritual claims appear unverifiable and arbitrary to a scientific mind.</w:t>
      </w:r>
    </w:p>
    <w:p>
      <w:pPr>
        <w:spacing w:after="80" w:before="60"/>
        <w:jc w:val="both"/>
      </w:pPr>
      <w:r>
        <w:rPr>
          <w:b/>
          <w:bCs/>
          <w:sz w:val="22"/>
          <w:szCs w:val="22"/>
        </w:rPr>
        <w:t xml:space="preserve">Spirituality as the Second Stone: </w:t>
      </w:r>
      <w:r>
        <w:rPr>
          <w:sz w:val="22"/>
          <w:szCs w:val="22"/>
        </w:rPr>
        <w:t xml:space="preserve">Spirituality addresses the dimensions of existence that lie beyond material measurement — consciousness, meaning, transcendence, and moksha. Without rational grounding, spiritual experience can deteriorate into superstition or dogmatism.</w:t>
      </w:r>
    </w:p>
    <w:p>
      <w:pPr>
        <w:spacing w:after="80" w:before="60"/>
        <w:jc w:val="both"/>
      </w:pPr>
      <w:r>
        <w:rPr>
          <w:b/>
          <w:bCs/>
          <w:sz w:val="22"/>
          <w:szCs w:val="22"/>
        </w:rPr>
        <w:t xml:space="preserve">Logic as the Cement: </w:t>
      </w:r>
      <w:r>
        <w:rPr>
          <w:sz w:val="22"/>
          <w:szCs w:val="22"/>
        </w:rPr>
        <w:t xml:space="preserve">Logic serves as the binding agent — the 'cement' — that holds these two stones together without dissolving either. In the Indian epistemological tradition (Nyaya Darshana, Vedanta, Sankhya), logical analysis (tarka) is used to:</w:t>
      </w:r>
    </w:p>
    <w:p>
      <w:pPr>
        <w:pStyle w:val="ListParagraph"/>
        <w:numPr>
          <w:ilvl w:val="0"/>
          <w:numId w:val="2"/>
        </w:numPr>
        <w:spacing w:after="40" w:before="40"/>
      </w:pPr>
      <w:r>
        <w:rPr>
          <w:sz w:val="22"/>
          <w:szCs w:val="22"/>
        </w:rPr>
        <w:t xml:space="preserve">Validate experiential spiritual claims through consistent reasoning</w:t>
      </w:r>
    </w:p>
    <w:p>
      <w:pPr>
        <w:pStyle w:val="ListParagraph"/>
        <w:numPr>
          <w:ilvl w:val="0"/>
          <w:numId w:val="2"/>
        </w:numPr>
        <w:spacing w:after="40" w:before="40"/>
      </w:pPr>
      <w:r>
        <w:rPr>
          <w:sz w:val="22"/>
          <w:szCs w:val="22"/>
        </w:rPr>
        <w:t xml:space="preserve">Challenge materialist reductionism by demonstrating the limits of purely empirical knowledge (as in Shankaracharya's arguments on the nature of consciousness)</w:t>
      </w:r>
    </w:p>
    <w:p>
      <w:pPr>
        <w:pStyle w:val="ListParagraph"/>
        <w:numPr>
          <w:ilvl w:val="0"/>
          <w:numId w:val="2"/>
        </w:numPr>
        <w:spacing w:after="40" w:before="40"/>
      </w:pPr>
      <w:r>
        <w:rPr>
          <w:sz w:val="22"/>
          <w:szCs w:val="22"/>
        </w:rPr>
        <w:t xml:space="preserve">Build bridges — for example, by using the logic of cause and effect (karma theory) to connect material and ethical dimensions of life</w:t>
      </w:r>
    </w:p>
    <w:p>
      <w:pPr>
        <w:spacing w:after="80" w:before="60"/>
        <w:jc w:val="both"/>
      </w:pPr>
      <w:r>
        <w:rPr>
          <w:sz w:val="22"/>
          <w:szCs w:val="22"/>
        </w:rPr>
        <w:t xml:space="preserve">A building with two stones but no cement collapses. Similarly, science without spiritual meaning becomes nihilistic, and spirituality without rational inquiry becomes blind faith. Logic as cement creates an integrated, stable worldview — the hallmark of the Indian intellectual tradition.</w:t>
      </w:r>
    </w:p>
    <w:p>
      <w:pPr>
        <w:pBdr>
          <w:bottom w:val="single" w:color="C9D9EE" w:sz="4" w:space="4"/>
        </w:pBdr>
        <w:spacing w:after="80" w:before="260"/>
      </w:pPr>
      <w:r>
        <w:rPr>
          <w:b/>
          <w:bCs/>
          <w:color w:val="2E75B6"/>
          <w:sz w:val="24"/>
          <w:szCs w:val="24"/>
        </w:rPr>
        <w:t xml:space="preserve">Q11. </w:t>
      </w:r>
      <w:r>
        <w:rPr>
          <w:b/>
          <w:bCs/>
          <w:color w:val="1F3864"/>
          <w:sz w:val="24"/>
          <w:szCs w:val="24"/>
        </w:rPr>
        <w:t xml:space="preserve">When did iron technology emerge in India? What is wootz steel and why was it important?</w:t>
      </w:r>
    </w:p>
    <w:p>
      <w:pPr>
        <w:spacing w:after="80" w:before="60"/>
        <w:jc w:val="both"/>
      </w:pPr>
      <w:r>
        <w:rPr>
          <w:b/>
          <w:bCs/>
          <w:sz w:val="22"/>
          <w:szCs w:val="22"/>
        </w:rPr>
        <w:t xml:space="preserve">Emergence of Iron Technology in India: </w:t>
      </w:r>
      <w:r>
        <w:rPr>
          <w:sz w:val="22"/>
          <w:szCs w:val="22"/>
        </w:rPr>
        <w:t xml:space="preserve">Iron technology in India emerged significantly earlier than previously estimated. Current archaeological evidence dates iron use to approximately 1800–1200 BCE in the Gangetic plains and central India. Key evidence includes:</w:t>
      </w:r>
    </w:p>
    <w:p>
      <w:pPr>
        <w:pStyle w:val="ListParagraph"/>
        <w:numPr>
          <w:ilvl w:val="0"/>
          <w:numId w:val="2"/>
        </w:numPr>
        <w:spacing w:after="40" w:before="40"/>
      </w:pPr>
      <w:r>
        <w:rPr>
          <w:sz w:val="22"/>
          <w:szCs w:val="22"/>
        </w:rPr>
        <w:t xml:space="preserve">Malhar (Chhattisgarh): Iron artefacts dated to c. 1800 BCE</w:t>
      </w:r>
    </w:p>
    <w:p>
      <w:pPr>
        <w:pStyle w:val="ListParagraph"/>
        <w:numPr>
          <w:ilvl w:val="0"/>
          <w:numId w:val="2"/>
        </w:numPr>
        <w:spacing w:after="40" w:before="40"/>
      </w:pPr>
      <w:r>
        <w:rPr>
          <w:sz w:val="22"/>
          <w:szCs w:val="22"/>
        </w:rPr>
        <w:t xml:space="preserve">Hallur (Karnataka): Iron objects dated to c. 1200–1000 BCE</w:t>
      </w:r>
    </w:p>
    <w:p>
      <w:pPr>
        <w:pStyle w:val="ListParagraph"/>
        <w:numPr>
          <w:ilvl w:val="0"/>
          <w:numId w:val="2"/>
        </w:numPr>
        <w:spacing w:after="40" w:before="40"/>
      </w:pPr>
      <w:r>
        <w:rPr>
          <w:sz w:val="22"/>
          <w:szCs w:val="22"/>
        </w:rPr>
        <w:t xml:space="preserve">Sites in UP and Rajasthan (PGW phase): Iron tools found in Painted Grey Ware contexts (~1100–700 BCE)</w:t>
      </w:r>
    </w:p>
    <w:p>
      <w:pPr>
        <w:spacing w:after="80" w:before="60"/>
        <w:jc w:val="both"/>
      </w:pPr>
      <w:r>
        <w:rPr>
          <w:sz w:val="22"/>
          <w:szCs w:val="22"/>
        </w:rPr>
        <w:t xml:space="preserve">By the Iron Age proper (c. 1000–600 BCE), iron was widely used for tools, weapons, ploughs, and construction, enabling agricultural expansion and the rise of the Mahajanapada kingdoms.</w:t>
      </w:r>
    </w:p>
    <w:p>
      <w:pPr>
        <w:spacing w:after="80" w:before="60"/>
        <w:jc w:val="both"/>
      </w:pPr>
      <w:r>
        <w:rPr>
          <w:b/>
          <w:bCs/>
          <w:sz w:val="22"/>
          <w:szCs w:val="22"/>
        </w:rPr>
        <w:t xml:space="preserve">Wootz Steel: </w:t>
      </w:r>
      <w:r>
        <w:rPr>
          <w:sz w:val="22"/>
          <w:szCs w:val="22"/>
        </w:rPr>
        <w:t xml:space="preserve">Wootz (derived from Telugu 'ukku' or Sanskrit 'ukka') is a high-carbon crucible steel of extraordinary quality, developed in South India (particularly in present-day Karnataka, Tamil Nadu, and Andhra Pradesh) by approximately 300 BCE – 200 CE.</w:t>
      </w:r>
    </w:p>
    <w:p>
      <w:pPr>
        <w:spacing w:after="80" w:before="60"/>
        <w:jc w:val="both"/>
      </w:pPr>
      <w:r>
        <w:rPr>
          <w:b/>
          <w:bCs/>
          <w:sz w:val="22"/>
          <w:szCs w:val="22"/>
        </w:rPr>
        <w:t xml:space="preserve">Production Process: </w:t>
      </w:r>
      <w:r>
        <w:rPr>
          <w:sz w:val="22"/>
          <w:szCs w:val="22"/>
        </w:rPr>
        <w:t xml:space="preserve">Wootz was made by sealing iron with carbonaceous materials (charcoal, leaves) in clay crucibles and heating at very high temperatures (~1400°C) until the iron absorbed carbon evenly, producing a hypereutectoid steel with characteristic carbide banding.</w:t>
      </w:r>
    </w:p>
    <w:p>
      <w:pPr>
        <w:spacing w:after="80" w:before="60"/>
        <w:jc w:val="both"/>
      </w:pPr>
      <w:r>
        <w:rPr>
          <w:b/>
          <w:bCs/>
          <w:sz w:val="22"/>
          <w:szCs w:val="22"/>
        </w:rPr>
        <w:t xml:space="preserve">Importance: </w:t>
      </w:r>
      <w:r>
        <w:rPr>
          <w:sz w:val="22"/>
          <w:szCs w:val="22"/>
        </w:rPr>
        <w:t xml:space="preserve"/>
      </w:r>
    </w:p>
    <w:p>
      <w:pPr>
        <w:pStyle w:val="ListParagraph"/>
        <w:numPr>
          <w:ilvl w:val="0"/>
          <w:numId w:val="2"/>
        </w:numPr>
        <w:spacing w:after="40" w:before="40"/>
      </w:pPr>
      <w:r>
        <w:rPr>
          <w:sz w:val="22"/>
          <w:szCs w:val="22"/>
        </w:rPr>
        <w:t xml:space="preserve">Wootz exhibited exceptional hardness, sharpness, and elasticity — properties unmatched by contemporary European steel.</w:t>
      </w:r>
    </w:p>
    <w:p>
      <w:pPr>
        <w:pStyle w:val="ListParagraph"/>
        <w:numPr>
          <w:ilvl w:val="0"/>
          <w:numId w:val="2"/>
        </w:numPr>
        <w:spacing w:after="40" w:before="40"/>
      </w:pPr>
      <w:r>
        <w:rPr>
          <w:sz w:val="22"/>
          <w:szCs w:val="22"/>
        </w:rPr>
        <w:t xml:space="preserve">It was the primary material for Damascus steel blades — the legendary swords of the medieval Islamic and crusader periods.</w:t>
      </w:r>
    </w:p>
    <w:p>
      <w:pPr>
        <w:pStyle w:val="ListParagraph"/>
        <w:numPr>
          <w:ilvl w:val="0"/>
          <w:numId w:val="2"/>
        </w:numPr>
        <w:spacing w:after="40" w:before="40"/>
      </w:pPr>
      <w:r>
        <w:rPr>
          <w:sz w:val="22"/>
          <w:szCs w:val="22"/>
        </w:rPr>
        <w:t xml:space="preserve">Wootz was exported widely — to Persia, Arabia, and Rome — making it a major trade commodity and a symbol of Indian technological supremacy.</w:t>
      </w:r>
    </w:p>
    <w:p>
      <w:pPr>
        <w:pStyle w:val="ListParagraph"/>
        <w:numPr>
          <w:ilvl w:val="0"/>
          <w:numId w:val="2"/>
        </w:numPr>
        <w:spacing w:after="40" w:before="40"/>
      </w:pPr>
      <w:r>
        <w:rPr>
          <w:sz w:val="22"/>
          <w:szCs w:val="22"/>
        </w:rPr>
        <w:t xml:space="preserve">It represents one of the earliest examples of industrial-scale precision metallurgy in the ancient world.</w:t>
      </w:r>
    </w:p>
    <w:p>
      <w:pPr>
        <w:pBdr>
          <w:bottom w:val="single" w:color="C9D9EE" w:sz="4" w:space="4"/>
        </w:pBdr>
        <w:spacing w:after="80" w:before="260"/>
      </w:pPr>
      <w:r>
        <w:rPr>
          <w:b/>
          <w:bCs/>
          <w:color w:val="2E75B6"/>
          <w:sz w:val="24"/>
          <w:szCs w:val="24"/>
        </w:rPr>
        <w:t xml:space="preserve">Q12. </w:t>
      </w:r>
      <w:r>
        <w:rPr>
          <w:b/>
          <w:bCs/>
          <w:color w:val="1F3864"/>
          <w:sz w:val="24"/>
          <w:szCs w:val="24"/>
        </w:rPr>
        <w:t xml:space="preserve">Briefly explain the role of technology in shaping the concept of a "Global Village".</w:t>
      </w:r>
    </w:p>
    <w:p>
      <w:pPr>
        <w:spacing w:after="80" w:before="60"/>
        <w:jc w:val="both"/>
      </w:pPr>
      <w:r>
        <w:rPr>
          <w:sz w:val="22"/>
          <w:szCs w:val="22"/>
        </w:rPr>
        <w:t xml:space="preserve">The concept of the 'Global Village', coined by media theorist Marshall McLuhan in the 1960s, describes how advances in communication technology effectively compress space and time, making the entire world function as a single, interconnected community — much like a village where everyone is in constant contact.</w:t>
      </w:r>
    </w:p>
    <w:p>
      <w:pPr>
        <w:spacing w:after="80" w:before="60"/>
        <w:jc w:val="both"/>
      </w:pPr>
      <w:r>
        <w:rPr>
          <w:b/>
          <w:bCs/>
          <w:sz w:val="22"/>
          <w:szCs w:val="22"/>
        </w:rPr>
        <w:t xml:space="preserve">Historical Perspective: </w:t>
      </w:r>
      <w:r>
        <w:rPr>
          <w:sz w:val="22"/>
          <w:szCs w:val="22"/>
        </w:rPr>
        <w:t xml:space="preserve">In ancient India, the concept of 'Vasudhaiva Kutumbakam' (the world is one family — Maha Upanishad) anticipated the Global Village idea at a philosophical level. Trade routes like the Silk Road, maritime networks, and cultural exchange systems created proto-global connectivity.</w:t>
      </w:r>
    </w:p>
    <w:p>
      <w:pPr>
        <w:spacing w:after="80" w:before="60"/>
        <w:jc w:val="both"/>
      </w:pPr>
      <w:r>
        <w:rPr>
          <w:b/>
          <w:bCs/>
          <w:sz w:val="22"/>
          <w:szCs w:val="22"/>
        </w:rPr>
        <w:t xml:space="preserve">Role of Modern Technology: </w:t>
      </w:r>
      <w:r>
        <w:rPr>
          <w:sz w:val="22"/>
          <w:szCs w:val="22"/>
        </w:rPr>
        <w:t xml:space="preserve"/>
      </w:r>
    </w:p>
    <w:p>
      <w:pPr>
        <w:pStyle w:val="ListParagraph"/>
        <w:numPr>
          <w:ilvl w:val="0"/>
          <w:numId w:val="2"/>
        </w:numPr>
        <w:spacing w:after="40" w:before="40"/>
      </w:pPr>
      <w:r>
        <w:rPr>
          <w:sz w:val="22"/>
          <w:szCs w:val="22"/>
        </w:rPr>
        <w:t xml:space="preserve">Telecommunications and the Internet have eliminated informational distance — news, data, and culture spread globally in real time.</w:t>
      </w:r>
    </w:p>
    <w:p>
      <w:pPr>
        <w:pStyle w:val="ListParagraph"/>
        <w:numPr>
          <w:ilvl w:val="0"/>
          <w:numId w:val="2"/>
        </w:numPr>
        <w:spacing w:after="40" w:before="40"/>
      </w:pPr>
      <w:r>
        <w:rPr>
          <w:sz w:val="22"/>
          <w:szCs w:val="22"/>
        </w:rPr>
        <w:t xml:space="preserve">Transportation technology (aviation, shipping) enables rapid physical mobility of people and goods across continents.</w:t>
      </w:r>
    </w:p>
    <w:p>
      <w:pPr>
        <w:pStyle w:val="ListParagraph"/>
        <w:numPr>
          <w:ilvl w:val="0"/>
          <w:numId w:val="2"/>
        </w:numPr>
        <w:spacing w:after="40" w:before="40"/>
      </w:pPr>
      <w:r>
        <w:rPr>
          <w:sz w:val="22"/>
          <w:szCs w:val="22"/>
        </w:rPr>
        <w:t xml:space="preserve">Digital platforms (social media, e-commerce, telemedicine) allow economic, social, and cultural interactions that transcend national boundaries.</w:t>
      </w:r>
    </w:p>
    <w:p>
      <w:pPr>
        <w:pStyle w:val="ListParagraph"/>
        <w:numPr>
          <w:ilvl w:val="0"/>
          <w:numId w:val="2"/>
        </w:numPr>
        <w:spacing w:after="40" w:before="40"/>
      </w:pPr>
      <w:r>
        <w:rPr>
          <w:sz w:val="22"/>
          <w:szCs w:val="22"/>
        </w:rPr>
        <w:t xml:space="preserve">Satellite technology facilitates global broadcasting, GPS navigation, and remote sensing.</w:t>
      </w:r>
    </w:p>
    <w:p>
      <w:pPr>
        <w:spacing w:after="80" w:before="60"/>
        <w:jc w:val="both"/>
      </w:pPr>
      <w:r>
        <w:rPr>
          <w:b/>
          <w:bCs/>
          <w:sz w:val="22"/>
          <w:szCs w:val="22"/>
        </w:rPr>
        <w:t xml:space="preserve">Significance: </w:t>
      </w:r>
      <w:r>
        <w:rPr>
          <w:sz w:val="22"/>
          <w:szCs w:val="22"/>
        </w:rPr>
        <w:t xml:space="preserve">Technology has transformed the world from a collection of isolated civilisations into an interdependent global ecosystem. Economic activities, environmental challenges (climate change, pandemics), and political events in one nation now have immediate global repercussions — demonstrating that the 'Global Village' is not just a metaphor but an operational reality. The challenge of the Global Village era is using technology responsibly to promote shared human values — echoing the dharmic principle of Vasudhaiva Kutumbakam.</w:t>
      </w:r>
    </w:p>
    <w:p>
      <w:pPr>
        <w:pBdr>
          <w:bottom w:val="single" w:color="C9D9EE" w:sz="4" w:space="4"/>
        </w:pBdr>
        <w:spacing w:after="80" w:before="260"/>
      </w:pPr>
      <w:r>
        <w:rPr>
          <w:b/>
          <w:bCs/>
          <w:color w:val="2E75B6"/>
          <w:sz w:val="24"/>
          <w:szCs w:val="24"/>
        </w:rPr>
        <w:t xml:space="preserve">Q13. </w:t>
      </w:r>
      <w:r>
        <w:rPr>
          <w:b/>
          <w:bCs/>
          <w:color w:val="1F3864"/>
          <w:sz w:val="24"/>
          <w:szCs w:val="24"/>
        </w:rPr>
        <w:t xml:space="preserve">What is the significance of the Delhi Iron Pillar?</w:t>
      </w:r>
    </w:p>
    <w:p>
      <w:pPr>
        <w:spacing w:after="80" w:before="60"/>
        <w:jc w:val="both"/>
      </w:pPr>
      <w:r>
        <w:rPr>
          <w:sz w:val="22"/>
          <w:szCs w:val="22"/>
        </w:rPr>
        <w:t xml:space="preserve">The Delhi Iron Pillar, located at the Qutb Minar complex in New Delhi, stands as one of the most remarkable achievements in the history of global metallurgy.</w:t>
      </w:r>
    </w:p>
    <w:p>
      <w:pPr>
        <w:spacing w:after="80" w:before="60"/>
        <w:jc w:val="both"/>
      </w:pPr>
      <w:r>
        <w:rPr>
          <w:b/>
          <w:bCs/>
          <w:sz w:val="22"/>
          <w:szCs w:val="22"/>
        </w:rPr>
        <w:t xml:space="preserve">Historical Background: </w:t>
      </w:r>
      <w:r>
        <w:rPr>
          <w:sz w:val="22"/>
          <w:szCs w:val="22"/>
        </w:rPr>
        <w:t xml:space="preserve">The pillar is estimated to have been erected during the reign of Chandragupta II (Vikramaditya) of the Gupta Empire (c. 375–415 CE), as indicated by a Sanskrit inscription on its shaft. It originally stood at a Vishnu temple and was later relocated.</w:t>
      </w:r>
    </w:p>
    <w:p>
      <w:pPr>
        <w:spacing w:after="80" w:before="60"/>
        <w:jc w:val="both"/>
      </w:pPr>
      <w:r>
        <w:rPr>
          <w:b/>
          <w:bCs/>
          <w:sz w:val="22"/>
          <w:szCs w:val="22"/>
        </w:rPr>
        <w:t xml:space="preserve">Technical Specifications: </w:t>
      </w:r>
      <w:r>
        <w:rPr>
          <w:sz w:val="22"/>
          <w:szCs w:val="22"/>
        </w:rPr>
        <w:t xml:space="preserve">The pillar is approximately 7.21 metres tall, 41 cm in diameter at the base, and weighs approximately 6.5 tonnes. It is composed of 98% wrought iron of exceptional purity.</w:t>
      </w:r>
    </w:p>
    <w:p>
      <w:pPr>
        <w:spacing w:after="80" w:before="60"/>
        <w:jc w:val="both"/>
      </w:pPr>
      <w:r>
        <w:rPr>
          <w:b/>
          <w:bCs/>
          <w:sz w:val="22"/>
          <w:szCs w:val="22"/>
        </w:rPr>
        <w:t xml:space="preserve">Significance: </w:t>
      </w:r>
      <w:r>
        <w:rPr>
          <w:sz w:val="22"/>
          <w:szCs w:val="22"/>
        </w:rPr>
        <w:t xml:space="preserve"/>
      </w:r>
    </w:p>
    <w:p>
      <w:pPr>
        <w:pStyle w:val="ListParagraph"/>
        <w:numPr>
          <w:ilvl w:val="0"/>
          <w:numId w:val="2"/>
        </w:numPr>
        <w:spacing w:after="40" w:before="40"/>
      </w:pPr>
      <w:r>
        <w:rPr>
          <w:sz w:val="22"/>
          <w:szCs w:val="22"/>
        </w:rPr>
        <w:t xml:space="preserve">Corrosion Resistance: Despite being over 1,600 years old and exposed to the elements, the pillar shows virtually no signs of rust or corrosion. Modern metallurgical analysis has revealed that this is due to the formation of a thin, stable layer of iron hydrogen phosphate (misawite) on its surface — a product of the cyclic atmospheric conditions and the phosphorus-rich slag used in the forge-welding process.</w:t>
      </w:r>
    </w:p>
    <w:p>
      <w:pPr>
        <w:pStyle w:val="ListParagraph"/>
        <w:numPr>
          <w:ilvl w:val="0"/>
          <w:numId w:val="2"/>
        </w:numPr>
        <w:spacing w:after="40" w:before="40"/>
      </w:pPr>
      <w:r>
        <w:rPr>
          <w:sz w:val="22"/>
          <w:szCs w:val="22"/>
        </w:rPr>
        <w:t xml:space="preserve">Manufacturing Achievement: The pillar was constructed by forge-welding (solid-state welding) iron lumps produced in small furnaces — a process that required extraordinary skill and organisation, predating the industrial blast furnace by over a millennium.</w:t>
      </w:r>
    </w:p>
    <w:p>
      <w:pPr>
        <w:pStyle w:val="ListParagraph"/>
        <w:numPr>
          <w:ilvl w:val="0"/>
          <w:numId w:val="2"/>
        </w:numPr>
        <w:spacing w:after="40" w:before="40"/>
      </w:pPr>
      <w:r>
        <w:rPr>
          <w:sz w:val="22"/>
          <w:szCs w:val="22"/>
        </w:rPr>
        <w:t xml:space="preserve">Material Purity: The low carbon and sulfur content, and high phosphorus content of the iron are directly responsible for its exceptional durability — a material composition not replicated in Western metallurgy until the 19th century.</w:t>
      </w:r>
    </w:p>
    <w:p>
      <w:pPr>
        <w:pStyle w:val="ListParagraph"/>
        <w:numPr>
          <w:ilvl w:val="0"/>
          <w:numId w:val="2"/>
        </w:numPr>
        <w:spacing w:after="40" w:before="40"/>
      </w:pPr>
      <w:r>
        <w:rPr>
          <w:sz w:val="22"/>
          <w:szCs w:val="22"/>
        </w:rPr>
        <w:t xml:space="preserve">Cultural Symbol: The pillar demonstrates the advanced scientific and technological capabilities of the Gupta period — rightly called the 'Golden Age' of India. It stands as a testament to the world-class status of ancient Indian metallurgy.</w:t>
      </w:r>
    </w:p>
    <w:p>
      <w:pPr>
        <w:pBdr>
          <w:bottom w:val="single" w:color="C9D9EE" w:sz="4" w:space="4"/>
        </w:pBdr>
        <w:spacing w:after="80" w:before="260"/>
      </w:pPr>
      <w:r>
        <w:rPr>
          <w:b/>
          <w:bCs/>
          <w:color w:val="2E75B6"/>
          <w:sz w:val="24"/>
          <w:szCs w:val="24"/>
        </w:rPr>
        <w:t xml:space="preserve">Q14. </w:t>
      </w:r>
      <w:r>
        <w:rPr>
          <w:b/>
          <w:bCs/>
          <w:color w:val="1F3864"/>
          <w:sz w:val="24"/>
          <w:szCs w:val="24"/>
        </w:rPr>
        <w:t xml:space="preserve">Why is India significant in zinc production?</w:t>
      </w:r>
    </w:p>
    <w:p>
      <w:pPr>
        <w:spacing w:after="80" w:before="60"/>
        <w:jc w:val="both"/>
      </w:pPr>
      <w:r>
        <w:rPr>
          <w:sz w:val="22"/>
          <w:szCs w:val="22"/>
        </w:rPr>
        <w:t xml:space="preserve">India holds a singular place in the history of global zinc metallurgy — it is the site of the world's first known large-scale zinc smelting operation.</w:t>
      </w:r>
    </w:p>
    <w:p>
      <w:pPr>
        <w:spacing w:after="80" w:before="60"/>
        <w:jc w:val="both"/>
      </w:pPr>
      <w:r>
        <w:rPr>
          <w:b/>
          <w:bCs/>
          <w:sz w:val="22"/>
          <w:szCs w:val="22"/>
        </w:rPr>
        <w:t xml:space="preserve">Zawar Mines (Rajasthan): </w:t>
      </w:r>
      <w:r>
        <w:rPr>
          <w:sz w:val="22"/>
          <w:szCs w:val="22"/>
        </w:rPr>
        <w:t xml:space="preserve">The Zawar mines in Udaipur district, Rajasthan, contain the earliest evidence of industrial zinc smelting in the world, dated to approximately 9th century CE, with full-scale operations confirmed from the 13th–18th centuries CE. This predates European zinc smelting (which began in the 17th century) by several centuries.</w:t>
      </w:r>
    </w:p>
    <w:p>
      <w:pPr>
        <w:spacing w:after="80" w:before="60"/>
        <w:jc w:val="both"/>
      </w:pPr>
      <w:r>
        <w:rPr>
          <w:b/>
          <w:bCs/>
          <w:sz w:val="22"/>
          <w:szCs w:val="22"/>
        </w:rPr>
        <w:t xml:space="preserve">Technological Innovation: </w:t>
      </w:r>
      <w:r>
        <w:rPr>
          <w:sz w:val="22"/>
          <w:szCs w:val="22"/>
        </w:rPr>
        <w:t xml:space="preserve">The Indian process involved downward distillation in specially designed retorts (clay cylinders), where zinc ore (sphalerite/smithsonite) was heated with charcoal. Zinc vapour, produced at temperatures exceeding 900°C, was condensed downward into cooling chambers — a uniquely engineered reverse-condensation system that Europeans could not replicate until much later.</w:t>
      </w:r>
    </w:p>
    <w:p>
      <w:pPr>
        <w:spacing w:after="80" w:before="60"/>
        <w:jc w:val="both"/>
      </w:pPr>
      <w:r>
        <w:rPr>
          <w:b/>
          <w:bCs/>
          <w:sz w:val="22"/>
          <w:szCs w:val="22"/>
        </w:rPr>
        <w:t xml:space="preserve">Scale of Production: </w:t>
      </w:r>
      <w:r>
        <w:rPr>
          <w:sz w:val="22"/>
          <w:szCs w:val="22"/>
        </w:rPr>
        <w:t xml:space="preserve">Excavations at Zawar have revealed evidence of smelting of hundreds of thousands of kilograms of zinc, with slag heaps confirming industrial-scale production over several centuries.</w:t>
      </w:r>
    </w:p>
    <w:p>
      <w:pPr>
        <w:pStyle w:val="ListParagraph"/>
        <w:numPr>
          <w:ilvl w:val="0"/>
          <w:numId w:val="2"/>
        </w:numPr>
        <w:spacing w:after="40" w:before="40"/>
      </w:pPr>
      <w:r>
        <w:rPr>
          <w:sz w:val="22"/>
          <w:szCs w:val="22"/>
        </w:rPr>
        <w:t xml:space="preserve">Zinc was used as a component in brass (copper-zinc alloy), widely exported across Asia, the Middle East, and eventually Europe.</w:t>
      </w:r>
    </w:p>
    <w:p>
      <w:pPr>
        <w:pStyle w:val="ListParagraph"/>
        <w:numPr>
          <w:ilvl w:val="0"/>
          <w:numId w:val="2"/>
        </w:numPr>
        <w:spacing w:after="40" w:before="40"/>
      </w:pPr>
      <w:r>
        <w:rPr>
          <w:sz w:val="22"/>
          <w:szCs w:val="22"/>
        </w:rPr>
        <w:t xml:space="preserve">Zinc bhasma (calamine ash) was used in Ayurveda for ophthalmological treatments (eye salves).</w:t>
      </w:r>
    </w:p>
    <w:p>
      <w:pPr>
        <w:pStyle w:val="ListParagraph"/>
        <w:numPr>
          <w:ilvl w:val="0"/>
          <w:numId w:val="2"/>
        </w:numPr>
        <w:spacing w:after="40" w:before="40"/>
      </w:pPr>
      <w:r>
        <w:rPr>
          <w:sz w:val="22"/>
          <w:szCs w:val="22"/>
        </w:rPr>
        <w:t xml:space="preserve">India exported zinc metal (known as 'tuttha' or 'yashada') across global trade routes.</w:t>
      </w:r>
    </w:p>
    <w:p>
      <w:pPr>
        <w:spacing w:after="80" w:before="60"/>
        <w:jc w:val="both"/>
      </w:pPr>
      <w:r>
        <w:rPr>
          <w:sz w:val="22"/>
          <w:szCs w:val="22"/>
        </w:rPr>
        <w:t xml:space="preserve">The Zawar zinc smelting technology represents a major contribution of India to world metallurgy and industrial chemistry.</w:t>
      </w:r>
    </w:p>
    <w:p>
      <w:pPr>
        <w:pBdr>
          <w:bottom w:val="single" w:color="C9D9EE" w:sz="4" w:space="4"/>
        </w:pBdr>
        <w:spacing w:after="80" w:before="260"/>
      </w:pPr>
      <w:r>
        <w:rPr>
          <w:b/>
          <w:bCs/>
          <w:color w:val="2E75B6"/>
          <w:sz w:val="24"/>
          <w:szCs w:val="24"/>
        </w:rPr>
        <w:t xml:space="preserve">Q15. </w:t>
      </w:r>
      <w:r>
        <w:rPr>
          <w:b/>
          <w:bCs/>
          <w:color w:val="1F3864"/>
          <w:sz w:val="24"/>
          <w:szCs w:val="24"/>
        </w:rPr>
        <w:t xml:space="preserve">Distinguish between Para-vidya and Apara-vidya as presented in the Upanishads.</w:t>
      </w:r>
    </w:p>
    <w:p>
      <w:pPr>
        <w:spacing w:after="80" w:before="60"/>
        <w:jc w:val="both"/>
      </w:pPr>
      <w:r>
        <w:rPr>
          <w:sz w:val="22"/>
          <w:szCs w:val="22"/>
        </w:rPr>
        <w:t xml:space="preserve">The distinction between Para-vidya and Apara-vidya is explicitly elaborated in the Mundaka Upanishad (1.1.4–5), where the sage Angiras responds to Shaunaka's question about what, if known, leads to the knowledge of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Aspect</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Apara-vidya (Lower Knowledge)</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Para-vidya (Higher Knowledge)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Definition</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Knowledge of the phenomenal world and its systems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Knowledge of Brahman (the Absolute/Ultimate Reality)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Subject Matter</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four Vedas, phonetics (Shiksha), ritual (Kalpa), grammar (Vyakarana), etymology (Nirukta), metre (Chandas), and astronomy (Jyotisha)</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imperishable Brahman — by knowing which, everything else is known</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Scope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Temporal; deals with the transient world of name and form (nama-rupa)</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Eternal; deals with the substratum of all existence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Outcome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Leads to worldly success, ritual merit, and refined intellect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Leads to liberation (Moksha) — freedom from the cycle of birth and death</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Means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Study, scholarship, and ritual practice (karma-kanda)</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Self-enquiry, meditation, and guru-upadesha (direct transmission)</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Relationship</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Preparatory — Apara-vidya refines the mind for Para-vidya</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Ultimate — Para-vidya transcends and fulfils Apara-vidya</w:t>
            </w:r>
          </w:p>
        </w:tc>
      </w:tr>
    </w:tbl>
    <w:p>
      <w:pPr>
        <w:pBdr>
          <w:bottom w:val="single" w:color="C9D9EE" w:sz="4" w:space="4"/>
        </w:pBdr>
        <w:spacing w:after="80" w:before="260"/>
      </w:pPr>
      <w:r>
        <w:rPr>
          <w:b/>
          <w:bCs/>
          <w:color w:val="2E75B6"/>
          <w:sz w:val="24"/>
          <w:szCs w:val="24"/>
        </w:rPr>
        <w:t xml:space="preserve">Q16. </w:t>
      </w:r>
      <w:r>
        <w:rPr>
          <w:b/>
          <w:bCs/>
          <w:color w:val="1F3864"/>
          <w:sz w:val="24"/>
          <w:szCs w:val="24"/>
        </w:rPr>
        <w:t xml:space="preserve">What is bidri ware and how does zinc feature in it? Who controlled metallurgical practices in ancient India?</w:t>
      </w:r>
    </w:p>
    <w:p>
      <w:pPr>
        <w:spacing w:after="80" w:before="60"/>
        <w:jc w:val="both"/>
      </w:pPr>
      <w:r>
        <w:rPr>
          <w:b/>
          <w:bCs/>
          <w:sz w:val="22"/>
          <w:szCs w:val="22"/>
        </w:rPr>
        <w:t xml:space="preserve">Bidri Ware: </w:t>
      </w:r>
      <w:r>
        <w:rPr>
          <w:sz w:val="22"/>
          <w:szCs w:val="22"/>
        </w:rPr>
        <w:t xml:space="preserve">Bidri ware is a distinctive form of Indian metalwork that originated in Bidar, Karnataka (the seat of the Bahmani Sultanate) around the 14th–15th centuries CE, though it draws upon earlier Indian metallurgical traditions. The name 'bidri' derives from Bidar.</w:t>
      </w:r>
    </w:p>
    <w:p>
      <w:pPr>
        <w:spacing w:after="80" w:before="60"/>
        <w:jc w:val="both"/>
      </w:pPr>
      <w:r>
        <w:rPr>
          <w:b/>
          <w:bCs/>
          <w:sz w:val="22"/>
          <w:szCs w:val="22"/>
        </w:rPr>
        <w:t xml:space="preserve">Role of Zinc in Bidri: </w:t>
      </w:r>
      <w:r>
        <w:rPr>
          <w:sz w:val="22"/>
          <w:szCs w:val="22"/>
        </w:rPr>
        <w:t xml:space="preserve">Bidri ware is made from an alloy of approximately 95% zinc and 5% copper. The alloy is cast into desired shapes (vessels, hookah bases, trays, jewellery boxes), and intricate patterns are engraved on the surface. Pure silver wire or sheet is then inlaid into the engravings. The distinctive black surface is produced by treating the object with a paste of sal ammoniac (ammonium chloride) mixed with soil unique to the Bidar fort — which oxidises the zinc-copper surface to a permanent matte black, making the silver inlay stand out brilliantly. Zinc is thus the structural and aesthetic foundation of bidri ware.</w:t>
      </w:r>
    </w:p>
    <w:p>
      <w:pPr>
        <w:spacing w:after="80" w:before="60"/>
        <w:jc w:val="both"/>
      </w:pPr>
      <w:r>
        <w:rPr>
          <w:b/>
          <w:bCs/>
          <w:sz w:val="22"/>
          <w:szCs w:val="22"/>
        </w:rPr>
        <w:t xml:space="preserve">Control of Metallurgical Practices in Ancient India: </w:t>
      </w:r>
      <w:r>
        <w:rPr>
          <w:sz w:val="22"/>
          <w:szCs w:val="22"/>
        </w:rPr>
        <w:t xml:space="preserve">Metallurgy in ancient India was closely regulated by the state as well as by specialised guilds (shrenis):</w:t>
      </w:r>
    </w:p>
    <w:p>
      <w:pPr>
        <w:pStyle w:val="ListParagraph"/>
        <w:numPr>
          <w:ilvl w:val="0"/>
          <w:numId w:val="2"/>
        </w:numPr>
        <w:spacing w:after="40" w:before="40"/>
      </w:pPr>
      <w:r>
        <w:rPr>
          <w:sz w:val="22"/>
          <w:szCs w:val="22"/>
        </w:rPr>
        <w:t xml:space="preserve">State Control: The Arthashastra of Kautilya establishes that metal mines (akaras) were state property, overseen by superintendents — the Lohadhyaksha (superintendent of metals), Suvarnadhyaksha (superintendent of gold), and Rupadarshaka (assayer of silver coins).</w:t>
      </w:r>
    </w:p>
    <w:p>
      <w:pPr>
        <w:pStyle w:val="ListParagraph"/>
        <w:numPr>
          <w:ilvl w:val="0"/>
          <w:numId w:val="2"/>
        </w:numPr>
        <w:spacing w:after="40" w:before="40"/>
      </w:pPr>
      <w:r>
        <w:rPr>
          <w:sz w:val="22"/>
          <w:szCs w:val="22"/>
        </w:rPr>
        <w:t xml:space="preserve">Guild System: Hereditary craft guilds of smiths (kammara, lohakar, suvarnakara) maintained technical knowledge, quality standards, and professional conduct. The guilds had legal standing and were patronised by kings.</w:t>
      </w:r>
    </w:p>
    <w:p>
      <w:pPr>
        <w:pStyle w:val="ListParagraph"/>
        <w:numPr>
          <w:ilvl w:val="0"/>
          <w:numId w:val="2"/>
        </w:numPr>
        <w:spacing w:after="40" w:before="40"/>
      </w:pPr>
      <w:r>
        <w:rPr>
          <w:sz w:val="22"/>
          <w:szCs w:val="22"/>
        </w:rPr>
        <w:t xml:space="preserve">Temple Patronage: Temples were major commissioners of metallurgical work (bronze icons, ritual vessels), and temple workshops employed master craftsmen under brahmin supervision.</w:t>
      </w:r>
    </w:p>
    <w:p>
      <w:pPr>
        <w:pBdr>
          <w:bottom w:val="single" w:color="C9D9EE" w:sz="4" w:space="4"/>
        </w:pBdr>
        <w:spacing w:after="80" w:before="260"/>
      </w:pPr>
      <w:r>
        <w:rPr>
          <w:b/>
          <w:bCs/>
          <w:color w:val="2E75B6"/>
          <w:sz w:val="24"/>
          <w:szCs w:val="24"/>
        </w:rPr>
        <w:t xml:space="preserve">Q17. </w:t>
      </w:r>
      <w:r>
        <w:rPr>
          <w:b/>
          <w:bCs/>
          <w:color w:val="1F3864"/>
          <w:sz w:val="24"/>
          <w:szCs w:val="24"/>
        </w:rPr>
        <w:t xml:space="preserve">Identify the similarity between Sankara's "existence of being" and Hegel's "pure being".</w:t>
      </w:r>
    </w:p>
    <w:p>
      <w:pPr>
        <w:spacing w:after="80" w:before="60"/>
        <w:jc w:val="both"/>
      </w:pPr>
      <w:r>
        <w:rPr>
          <w:sz w:val="22"/>
          <w:szCs w:val="22"/>
        </w:rPr>
        <w:t xml:space="preserve">A remarkable philosophical convergence exists between Adi Shankaracharya's (8th century CE) concept of Sat (pure existence/being) and Georg Wilhelm Friedrich Hegel's (19th century CE) concept of 'pure being' (Sein) in his Science of Logic.</w:t>
      </w:r>
    </w:p>
    <w:p>
      <w:pPr>
        <w:spacing w:after="80" w:before="60"/>
        <w:jc w:val="both"/>
      </w:pPr>
      <w:r>
        <w:rPr>
          <w:b/>
          <w:bCs/>
          <w:sz w:val="22"/>
          <w:szCs w:val="22"/>
        </w:rPr>
        <w:t xml:space="preserve">Shankara's Sat (Existence of Being): </w:t>
      </w:r>
      <w:r>
        <w:rPr>
          <w:sz w:val="22"/>
          <w:szCs w:val="22"/>
        </w:rPr>
        <w:t xml:space="preserve">In Advaita Vedanta, Shankara posits Brahman as Sat-Chit-Ananda (Existence-Consciousness-Bliss). Sat is pure, undifferentiated, self-evident existence — not existence of any particular thing, but pure being itself, which is the substratum of all that appears to exist. It is self-luminous, without qualities (nirguna), and beyond all duality.</w:t>
      </w:r>
    </w:p>
    <w:p>
      <w:pPr>
        <w:spacing w:after="80" w:before="60"/>
        <w:jc w:val="both"/>
      </w:pPr>
      <w:r>
        <w:rPr>
          <w:b/>
          <w:bCs/>
          <w:sz w:val="22"/>
          <w:szCs w:val="22"/>
        </w:rPr>
        <w:t xml:space="preserve">Hegel's Pure Being (Sein): </w:t>
      </w:r>
      <w:r>
        <w:rPr>
          <w:sz w:val="22"/>
          <w:szCs w:val="22"/>
        </w:rPr>
        <w:t xml:space="preserve">In Hegel's dialectical logic, 'pure being' is the first category — the most abstract, contentless, indeterminate concept of existence. Pure being, having no specific determinations, is indistinguishable from pure nothing (Nichts). This paradox drives the dialectical movement toward Becoming (Werden).</w:t>
      </w:r>
    </w:p>
    <w:p>
      <w:pPr>
        <w:spacing w:after="80" w:before="60"/>
        <w:jc w:val="both"/>
      </w:pPr>
      <w:r>
        <w:rPr>
          <w:b/>
          <w:bCs/>
          <w:sz w:val="22"/>
          <w:szCs w:val="22"/>
        </w:rPr>
        <w:t xml:space="preserve">Similarity: </w:t>
      </w:r>
      <w:r>
        <w:rPr>
          <w:sz w:val="22"/>
          <w:szCs w:val="22"/>
        </w:rPr>
        <w:t xml:space="preserve">Both Shankara and Hegel agree that 'pure being' is abstract, indeterminate, and cannot be grasped through the ordinary categories of thought. Both recognise that the very attempt to define or limit pure being reveals its relationship with non-being or negation. Both thinkers treat this absolute substratum as the logical/ontological starting point from which all differentiated reality unfolds — whether through vivartavada (apparent transformation) in Advaita, or through dialectical Becoming in Hegel's idealism. This convergence suggests a universal philosophical intuition about the nature of ultimate reality that transcends cultural and temporal boundaries.</w:t>
      </w:r>
    </w:p>
    <w:p>
      <w:pPr>
        <w:pBdr>
          <w:bottom w:val="single" w:color="C9D9EE" w:sz="4" w:space="4"/>
        </w:pBdr>
        <w:spacing w:after="80" w:before="260"/>
      </w:pPr>
      <w:r>
        <w:rPr>
          <w:b/>
          <w:bCs/>
          <w:color w:val="2E75B6"/>
          <w:sz w:val="24"/>
          <w:szCs w:val="24"/>
        </w:rPr>
        <w:t xml:space="preserve">Q18. </w:t>
      </w:r>
      <w:r>
        <w:rPr>
          <w:b/>
          <w:bCs/>
          <w:color w:val="1F3864"/>
          <w:sz w:val="24"/>
          <w:szCs w:val="24"/>
        </w:rPr>
        <w:t xml:space="preserve">Briefly summarize the notion of "absolute spirit" according to Rene Descartes and Spinoza.</w:t>
      </w:r>
    </w:p>
    <w:p>
      <w:pPr>
        <w:spacing w:after="80" w:before="60"/>
        <w:jc w:val="both"/>
      </w:pPr>
      <w:r>
        <w:rPr>
          <w:b/>
          <w:bCs/>
          <w:sz w:val="22"/>
          <w:szCs w:val="22"/>
        </w:rPr>
        <w:t xml:space="preserve">Rene Descartes: </w:t>
      </w:r>
      <w:r>
        <w:rPr>
          <w:sz w:val="22"/>
          <w:szCs w:val="22"/>
        </w:rPr>
        <w:t xml:space="preserve">Descartes, the founder of modern Western rationalist philosophy, does not explicitly use the term 'absolute spirit,' but his concept of God (Deus) approximates the notion. In his Meditations on First Philosophy (1641) and Principles of Philosophy, Descartes posits God as an infinitely perfect, self-subsistent being — the ultimate res infinita (infinite substance). God is the absolute ground who guarantees the correspondence between rational ideas and reality. For Descartes, the human mind (res cogitans) participates in God's rationality through the innateness of clear and distinct ideas. Thus, the absolute spirit in Cartesian terms is the infinite, omniscient, omnipotent divine intellect that underlies and validates all rational and material existence.</w:t>
      </w:r>
    </w:p>
    <w:p>
      <w:pPr>
        <w:spacing w:after="80" w:before="60"/>
        <w:jc w:val="both"/>
      </w:pPr>
      <w:r>
        <w:rPr>
          <w:b/>
          <w:bCs/>
          <w:sz w:val="22"/>
          <w:szCs w:val="22"/>
        </w:rPr>
        <w:t xml:space="preserve">Baruch Spinoza: </w:t>
      </w:r>
      <w:r>
        <w:rPr>
          <w:sz w:val="22"/>
          <w:szCs w:val="22"/>
        </w:rPr>
        <w:t xml:space="preserve">Spinoza's pantheistic metaphysics, articulated in Ethics (1677), identifies God (Deus sive Natura — 'God or Nature') as the one, infinite, self-caused substance (Causa sui) — the absolute spirit in the fullest sense. For Spinoza, there is only one substance, which is infinite and possesses infinite attributes, of which we know two: Thought (Cogitatio) and Extension (Extensio). The entire universe is a modification (mode) of this one divine substance. Unlike Descartes' personal God, Spinoza's absolute is impersonal, immanent, and identical with the totality of reality. Human freedom is achieved by understanding oneself as a mode of this divine substance and aligning one's will with the necessities of its rational order — a concept resonant with the Vedantic notion of Brahman as the one undivided absolute reality.</w:t>
      </w:r>
    </w:p>
    <w:p>
      <w:pPr>
        <w:pBdr>
          <w:bottom w:val="single" w:color="C9D9EE" w:sz="4" w:space="4"/>
        </w:pBdr>
        <w:spacing w:after="80" w:before="260"/>
      </w:pPr>
      <w:r>
        <w:rPr>
          <w:b/>
          <w:bCs/>
          <w:color w:val="2E75B6"/>
          <w:sz w:val="24"/>
          <w:szCs w:val="24"/>
        </w:rPr>
        <w:t xml:space="preserve">Q19. </w:t>
      </w:r>
      <w:r>
        <w:rPr>
          <w:b/>
          <w:bCs/>
          <w:color w:val="1F3864"/>
          <w:sz w:val="24"/>
          <w:szCs w:val="24"/>
        </w:rPr>
        <w:t xml:space="preserve">What does the Arthashastra reveal about metallurgy?</w:t>
      </w:r>
    </w:p>
    <w:p>
      <w:pPr>
        <w:spacing w:after="80" w:before="60"/>
        <w:jc w:val="both"/>
      </w:pPr>
      <w:r>
        <w:rPr>
          <w:sz w:val="22"/>
          <w:szCs w:val="22"/>
        </w:rPr>
        <w:t xml:space="preserve">The Arthashastra, attributed to Kautilya (Chanakya), the prime minister of Chandragupta Maurya (c. 321–297 BCE), is one of the most comprehensive ancient treatises on statecraft, economics, and administration. It contains extensive chapters on metallurgy and mining, providing remarkable technical details:</w:t>
      </w:r>
    </w:p>
    <w:p>
      <w:pPr>
        <w:spacing w:after="80" w:before="60"/>
        <w:jc w:val="both"/>
      </w:pPr>
      <w:r>
        <w:rPr>
          <w:b/>
          <w:bCs/>
          <w:sz w:val="22"/>
          <w:szCs w:val="22"/>
        </w:rPr>
        <w:t xml:space="preserve">1. Classification of Metals and Ores: </w:t>
      </w:r>
      <w:r>
        <w:rPr>
          <w:sz w:val="22"/>
          <w:szCs w:val="22"/>
        </w:rPr>
        <w:t xml:space="preserve">The Arthashastra classifies metals into several categories and provides descriptions of ore characteristics, smelting processes, and quality tests for gold, silver, copper, iron, lead, tin, and their alloys.</w:t>
      </w:r>
    </w:p>
    <w:p>
      <w:pPr>
        <w:spacing w:after="80" w:before="60"/>
        <w:jc w:val="both"/>
      </w:pPr>
      <w:r>
        <w:rPr>
          <w:b/>
          <w:bCs/>
          <w:sz w:val="22"/>
          <w:szCs w:val="22"/>
        </w:rPr>
        <w:t xml:space="preserve">2. State Control of Mines: </w:t>
      </w:r>
      <w:r>
        <w:rPr>
          <w:sz w:val="22"/>
          <w:szCs w:val="22"/>
        </w:rPr>
        <w:t xml:space="preserve">Mines (akaras) were state property. The Arthashastra details the administrative structure: the Superintendent of Mines (Akara-dhyaksha) oversaw mineral extraction; the Superintendent of Metals (Lohadhyaksha) supervised metal processing; the Superintendent of Gold (Suvarnadhyaksha) managed gold trade and coinage.</w:t>
      </w:r>
    </w:p>
    <w:p>
      <w:pPr>
        <w:spacing w:after="80" w:before="60"/>
        <w:jc w:val="both"/>
      </w:pPr>
      <w:r>
        <w:rPr>
          <w:b/>
          <w:bCs/>
          <w:sz w:val="22"/>
          <w:szCs w:val="22"/>
        </w:rPr>
        <w:t xml:space="preserve">3. Gold and Silver Testing: </w:t>
      </w:r>
      <w:r>
        <w:rPr>
          <w:sz w:val="22"/>
          <w:szCs w:val="22"/>
        </w:rPr>
        <w:t xml:space="preserve">Kautilya describes the touchstone test for gold purity, fire assay methods, and describes sixteen grades of gold (suvarnas). Methods for detecting adulterated metals are also detailed.</w:t>
      </w:r>
    </w:p>
    <w:p>
      <w:pPr>
        <w:spacing w:after="80" w:before="60"/>
        <w:jc w:val="both"/>
      </w:pPr>
      <w:r>
        <w:rPr>
          <w:b/>
          <w:bCs/>
          <w:sz w:val="22"/>
          <w:szCs w:val="22"/>
        </w:rPr>
        <w:t xml:space="preserve">4. Coin Production and Forgery Detection: </w:t>
      </w:r>
      <w:r>
        <w:rPr>
          <w:sz w:val="22"/>
          <w:szCs w:val="22"/>
        </w:rPr>
        <w:t xml:space="preserve">The Arthashastra devotes considerable space to the minting of coins (rupa-darshaka), acceptable tolerances in weight and purity, and stringent penalties for counterfeit metal production.</w:t>
      </w:r>
    </w:p>
    <w:p>
      <w:pPr>
        <w:spacing w:after="80" w:before="60"/>
        <w:jc w:val="both"/>
      </w:pPr>
      <w:r>
        <w:rPr>
          <w:b/>
          <w:bCs/>
          <w:sz w:val="22"/>
          <w:szCs w:val="22"/>
        </w:rPr>
        <w:t xml:space="preserve">5. Alloy Technology: </w:t>
      </w:r>
      <w:r>
        <w:rPr>
          <w:sz w:val="22"/>
          <w:szCs w:val="22"/>
        </w:rPr>
        <w:t xml:space="preserve">It describes compositions of several alloys including vraka (arsenic bronze), tamra (pure copper), and various copper-zinc-tin combinations. The use of flux, bellows, and crucibles is also mentioned.</w:t>
      </w:r>
    </w:p>
    <w:p>
      <w:pPr>
        <w:spacing w:after="80" w:before="60"/>
        <w:jc w:val="both"/>
      </w:pPr>
      <w:r>
        <w:rPr>
          <w:sz w:val="22"/>
          <w:szCs w:val="22"/>
        </w:rPr>
        <w:t xml:space="preserve">The Arthashastra thus stands as a unique technical-administrative document revealing the depth and systematic nature of metallurgical knowledge in Mauryan India.</w:t>
      </w:r>
    </w:p>
    <w:p>
      <w:pPr>
        <w:pBdr>
          <w:bottom w:val="single" w:color="C9D9EE" w:sz="4" w:space="4"/>
        </w:pBdr>
        <w:spacing w:after="80" w:before="260"/>
      </w:pPr>
      <w:r>
        <w:rPr>
          <w:b/>
          <w:bCs/>
          <w:color w:val="2E75B6"/>
          <w:sz w:val="24"/>
          <w:szCs w:val="24"/>
        </w:rPr>
        <w:t xml:space="preserve">Q20. </w:t>
      </w:r>
      <w:r>
        <w:rPr>
          <w:b/>
          <w:bCs/>
          <w:color w:val="1F3864"/>
          <w:sz w:val="24"/>
          <w:szCs w:val="24"/>
        </w:rPr>
        <w:t xml:space="preserve">How did Varahamihira contribute to metallurgy? Explain how the "Absolute" is conceptualized in the Nasadiya-Sukta of the Rigveda.</w:t>
      </w:r>
    </w:p>
    <w:p>
      <w:pPr>
        <w:spacing w:after="80" w:before="60"/>
        <w:jc w:val="both"/>
      </w:pPr>
      <w:r>
        <w:rPr>
          <w:b/>
          <w:bCs/>
          <w:sz w:val="22"/>
          <w:szCs w:val="22"/>
        </w:rPr>
        <w:t xml:space="preserve">Varahamihira's Contribution to Metallurgy: </w:t>
      </w:r>
      <w:r>
        <w:rPr>
          <w:sz w:val="22"/>
          <w:szCs w:val="22"/>
        </w:rPr>
        <w:t xml:space="preserve">Varahamihira (c. 505–587 CE), the celebrated polymath of the Gupta period, made significant contributions to metallurgy primarily through his encyclopaedic work Brihat Samhita. Relevant contributions include:</w:t>
      </w:r>
    </w:p>
    <w:p>
      <w:pPr>
        <w:pStyle w:val="ListParagraph"/>
        <w:numPr>
          <w:ilvl w:val="0"/>
          <w:numId w:val="2"/>
        </w:numPr>
        <w:spacing w:after="40" w:before="40"/>
      </w:pPr>
      <w:r>
        <w:rPr>
          <w:sz w:val="22"/>
          <w:szCs w:val="22"/>
        </w:rPr>
        <w:t xml:space="preserve">Statue and Image Construction: Varahamihira provides detailed prescriptions for the composition of alloys used in casting bronze and metal images (murti nirman), including specific proportions of copper, tin, lead, and zinc.</w:t>
      </w:r>
    </w:p>
    <w:p>
      <w:pPr>
        <w:pStyle w:val="ListParagraph"/>
        <w:numPr>
          <w:ilvl w:val="0"/>
          <w:numId w:val="2"/>
        </w:numPr>
        <w:spacing w:after="40" w:before="40"/>
      </w:pPr>
      <w:r>
        <w:rPr>
          <w:sz w:val="22"/>
          <w:szCs w:val="22"/>
        </w:rPr>
        <w:t xml:space="preserve">Protective Coatings: He describes the preparation of lacquers and surface treatments (varnas) to protect metal objects from corrosion — an early contribution to the science of surface metallurgy.</w:t>
      </w:r>
    </w:p>
    <w:p>
      <w:pPr>
        <w:pStyle w:val="ListParagraph"/>
        <w:numPr>
          <w:ilvl w:val="0"/>
          <w:numId w:val="2"/>
        </w:numPr>
        <w:spacing w:after="40" w:before="40"/>
      </w:pPr>
      <w:r>
        <w:rPr>
          <w:sz w:val="22"/>
          <w:szCs w:val="22"/>
        </w:rPr>
        <w:t xml:space="preserve">Agricultural Implements: His chapter on agricultural practices (Krishi) recommends treatments for maintaining iron tools to prevent rusting.</w:t>
      </w:r>
    </w:p>
    <w:p>
      <w:pPr>
        <w:pStyle w:val="ListParagraph"/>
        <w:numPr>
          <w:ilvl w:val="0"/>
          <w:numId w:val="2"/>
        </w:numPr>
        <w:spacing w:after="40" w:before="40"/>
      </w:pPr>
      <w:r>
        <w:rPr>
          <w:sz w:val="22"/>
          <w:szCs w:val="22"/>
        </w:rPr>
        <w:t xml:space="preserve">Gemstone and Metal Properties: The Brihat Samhita includes chapters on the properties of gems and metals relevant to construction, jewellery, and ritual — demonstrating a sophisticated understanding of material science.</w:t>
      </w:r>
    </w:p>
    <w:p>
      <w:pPr>
        <w:spacing w:after="80" w:before="60"/>
        <w:jc w:val="both"/>
      </w:pPr>
      <w:r>
        <w:rPr>
          <w:b/>
          <w:bCs/>
          <w:sz w:val="22"/>
          <w:szCs w:val="22"/>
        </w:rPr>
        <w:t xml:space="preserve">The 'Absolute' in the Nasadiya-Sukta (Rigveda X.129): </w:t>
      </w:r>
      <w:r>
        <w:rPr>
          <w:sz w:val="22"/>
          <w:szCs w:val="22"/>
        </w:rPr>
        <w:t xml:space="preserve">The Nasadiya-Sukta ('The Hymn of Creation') is one of the most philosophically profound passages in the Rigveda. It conceptualises the 'Absolute' as follows:</w:t>
      </w:r>
    </w:p>
    <w:p>
      <w:pPr>
        <w:spacing w:after="80" w:before="60"/>
        <w:jc w:val="both"/>
      </w:pPr>
      <w:r>
        <w:rPr>
          <w:sz w:val="22"/>
          <w:szCs w:val="22"/>
        </w:rPr>
        <w:t xml:space="preserve">Before creation, there was neither existence (sat) nor non-existence (asat), neither death nor immortality, neither day nor night — only 'That One' (Tad Ekam) breathed by its own inner impulse (sva-dhaya). This primordial Absolute is:</w:t>
      </w:r>
    </w:p>
    <w:p>
      <w:pPr>
        <w:pStyle w:val="ListParagraph"/>
        <w:numPr>
          <w:ilvl w:val="0"/>
          <w:numId w:val="2"/>
        </w:numPr>
        <w:spacing w:after="40" w:before="40"/>
      </w:pPr>
      <w:r>
        <w:rPr>
          <w:sz w:val="22"/>
          <w:szCs w:val="22"/>
        </w:rPr>
        <w:t xml:space="preserve">Indeterminate: Neither being nor non-being — transcending all binary categories.</w:t>
      </w:r>
    </w:p>
    <w:p>
      <w:pPr>
        <w:pStyle w:val="ListParagraph"/>
        <w:numPr>
          <w:ilvl w:val="0"/>
          <w:numId w:val="2"/>
        </w:numPr>
        <w:spacing w:after="40" w:before="40"/>
      </w:pPr>
      <w:r>
        <w:rPr>
          <w:sz w:val="22"/>
          <w:szCs w:val="22"/>
        </w:rPr>
        <w:t xml:space="preserve">Self-Generating: It arose from within itself (sva-dhaya), requiring no external cause.</w:t>
      </w:r>
    </w:p>
    <w:p>
      <w:pPr>
        <w:pStyle w:val="ListParagraph"/>
        <w:numPr>
          <w:ilvl w:val="0"/>
          <w:numId w:val="2"/>
        </w:numPr>
        <w:spacing w:after="40" w:before="40"/>
      </w:pPr>
      <w:r>
        <w:rPr>
          <w:sz w:val="22"/>
          <w:szCs w:val="22"/>
        </w:rPr>
        <w:t xml:space="preserve">Conscious yet Ineffable: 'That One' is the seed of all creative potential, moved by kama (primordial desire) — described as the first seed of mind (manas).</w:t>
      </w:r>
    </w:p>
    <w:p>
      <w:pPr>
        <w:pStyle w:val="ListParagraph"/>
        <w:numPr>
          <w:ilvl w:val="0"/>
          <w:numId w:val="2"/>
        </w:numPr>
        <w:spacing w:after="40" w:before="40"/>
      </w:pPr>
      <w:r>
        <w:rPr>
          <w:sz w:val="22"/>
          <w:szCs w:val="22"/>
        </w:rPr>
        <w:t xml:space="preserve">Unknown even to the gods: The hymn famously concludes with radical epistemic humility — even the highest beings do not know the origin of creation; perhaps even the creator does not know, 'or perhaps it does not know.'</w:t>
      </w:r>
    </w:p>
    <w:p>
      <w:pPr>
        <w:spacing w:after="80" w:before="60"/>
        <w:jc w:val="both"/>
      </w:pPr>
      <w:r>
        <w:rPr>
          <w:sz w:val="22"/>
          <w:szCs w:val="22"/>
        </w:rPr>
        <w:t xml:space="preserve">This represents one of the earliest documented philosophical inquiries into the nature of ultimate reality — anticipating later Vedantic formulations of Brahman as Nirguna (attributeless) and the Sunyata (voidness) of Buddhist philosophy.</w:t>
      </w:r>
    </w:p>
    <w:p>
      <w:pPr>
        <w:pBdr>
          <w:bottom w:val="single" w:color="C9D9EE" w:sz="4" w:space="4"/>
        </w:pBdr>
        <w:spacing w:after="80" w:before="260"/>
      </w:pPr>
      <w:r>
        <w:rPr>
          <w:b/>
          <w:bCs/>
          <w:color w:val="2E75B6"/>
          <w:sz w:val="24"/>
          <w:szCs w:val="24"/>
        </w:rPr>
        <w:t xml:space="preserve">Q21. </w:t>
      </w:r>
      <w:r>
        <w:rPr>
          <w:b/>
          <w:bCs/>
          <w:color w:val="1F3864"/>
          <w:sz w:val="24"/>
          <w:szCs w:val="24"/>
        </w:rPr>
        <w:t xml:space="preserve">List the five great teachings (mahavakyas) from the Upanishads regarding the relationship between the Self and God.</w:t>
      </w:r>
    </w:p>
    <w:p>
      <w:pPr>
        <w:spacing w:after="80" w:before="60"/>
        <w:jc w:val="both"/>
      </w:pPr>
      <w:r>
        <w:rPr>
          <w:sz w:val="22"/>
          <w:szCs w:val="22"/>
        </w:rPr>
        <w:t xml:space="preserve">The Mahavakyas (literally 'Great Sayings') are four (or contextually enumerated as five including sub-variants) foundational statements from the Upanishads that encapsulate the essential teaching of Advaita Vedanta — the non-dual identity of the individual self (Atman) and the ultimate reality (Brahman):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80"/>
        <w:gridCol w:w="40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Mahavakya</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Upanishad/Veda</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r>
      <w:tr>
        <w:tc>
          <w:tcPr>
            <w:tcW w:type="dxa" w:w="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Prajnanam Brahma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Aitareya Upanishad (Rigveda)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Consciousness is Brahman</w:t>
            </w:r>
          </w:p>
        </w:tc>
      </w:tr>
      <w:tr>
        <w:tc>
          <w:tcPr>
            <w:tcW w:type="dxa" w:w="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Aham Brahmasmi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Brihadaranyaka Upanishad (Yajurveda)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 am Brahman</w:t>
            </w:r>
          </w:p>
        </w:tc>
      </w:tr>
      <w:tr>
        <w:tc>
          <w:tcPr>
            <w:tcW w:type="dxa" w:w="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Tat Tvam Asi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Chandogya Upanishad (Samaveda)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Thou art That</w:t>
            </w:r>
          </w:p>
        </w:tc>
      </w:tr>
      <w:tr>
        <w:tc>
          <w:tcPr>
            <w:tcW w:type="dxa" w:w="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Ayam Atma Brahma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Mandukya Upanishad (Atharvaveda)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Self is Brahman</w:t>
            </w:r>
          </w:p>
        </w:tc>
      </w:tr>
      <w:tr>
        <w:tc>
          <w:tcPr>
            <w:tcW w:type="dxa" w:w="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So'ham / Shivoham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Vedantic tradition (extended mahavakya)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 am That / I am Shiva (the auspicious reality)</w:t>
            </w:r>
          </w:p>
        </w:tc>
      </w:tr>
    </w:tbl>
    <w:p>
      <w:pPr>
        <w:spacing w:after="80" w:before="60"/>
        <w:jc w:val="both"/>
      </w:pPr>
      <w:r>
        <w:rPr>
          <w:sz w:val="22"/>
          <w:szCs w:val="22"/>
        </w:rPr>
        <w:t xml:space="preserve">Each Mahavakya contains within it the complete Vedantic teaching: the individual (jiva), apparently distinct, is in reality non-different from the one infinite Brahman. Realising this identity constitutes liberation (Moksha).</w:t>
      </w:r>
    </w:p>
    <w:p>
      <w:pPr>
        <w:pBdr>
          <w:bottom w:val="single" w:color="C9D9EE" w:sz="4" w:space="4"/>
        </w:pBdr>
        <w:spacing w:after="80" w:before="260"/>
      </w:pPr>
      <w:r>
        <w:rPr>
          <w:b/>
          <w:bCs/>
          <w:color w:val="2E75B6"/>
          <w:sz w:val="24"/>
          <w:szCs w:val="24"/>
        </w:rPr>
        <w:t xml:space="preserve">Q22. </w:t>
      </w:r>
      <w:r>
        <w:rPr>
          <w:b/>
          <w:bCs/>
          <w:color w:val="1F3864"/>
          <w:sz w:val="24"/>
          <w:szCs w:val="24"/>
        </w:rPr>
        <w:t xml:space="preserve">Based on the Kenopanishad and Kathopanishad, what happens to a person who fails to attain Self-realization before death?</w:t>
      </w:r>
    </w:p>
    <w:p>
      <w:pPr>
        <w:spacing w:after="80" w:before="60"/>
        <w:jc w:val="both"/>
      </w:pPr>
      <w:r>
        <w:rPr>
          <w:b/>
          <w:bCs/>
          <w:sz w:val="22"/>
          <w:szCs w:val="22"/>
        </w:rPr>
        <w:t xml:space="preserve">Kenopanishad's Teaching: </w:t>
      </w:r>
      <w:r>
        <w:rPr>
          <w:sz w:val="22"/>
          <w:szCs w:val="22"/>
        </w:rPr>
        <w:t xml:space="preserve">The Kenopanishad opens with the question: 'By whose will does the mind move? Who impels the breath? Who causes the eye to see and the ear to hear?' The answer is Brahman — the ultimate ground of consciousness that is never the object of perception, yet is that by which all perception is made possible. The Kenopanishad teaches that those who 'know' Brahman only intellectually do not truly know Brahman (ya evaṃ veda, brahma veda — only one who has directly realised it, knows it). Those who fail to achieve this direct Self-realization die carrying the misconception of personal identity (ahamkara) — they remain bound to the cycle of samsara.</w:t>
      </w:r>
    </w:p>
    <w:p>
      <w:pPr>
        <w:spacing w:after="80" w:before="60"/>
        <w:jc w:val="both"/>
      </w:pPr>
      <w:r>
        <w:rPr>
          <w:b/>
          <w:bCs/>
          <w:sz w:val="22"/>
          <w:szCs w:val="22"/>
        </w:rPr>
        <w:t xml:space="preserve">Kathopanishad's Teaching: </w:t>
      </w:r>
      <w:r>
        <w:rPr>
          <w:sz w:val="22"/>
          <w:szCs w:val="22"/>
        </w:rPr>
        <w:t xml:space="preserve">In the Kathopanishad, the young Nachiketa receives the teaching on the Self (Atman) from Yama (the god of death) himself. Key teachings include:</w:t>
      </w:r>
    </w:p>
    <w:p>
      <w:pPr>
        <w:pStyle w:val="ListParagraph"/>
        <w:numPr>
          <w:ilvl w:val="0"/>
          <w:numId w:val="2"/>
        </w:numPr>
        <w:spacing w:after="40" w:before="40"/>
      </w:pPr>
      <w:r>
        <w:rPr>
          <w:sz w:val="22"/>
          <w:szCs w:val="22"/>
        </w:rPr>
        <w:t xml:space="preserve">The Atman is not born and does not die (na jayate mriyate va kadacit) — it is beyond birth and death.</w:t>
      </w:r>
    </w:p>
    <w:p>
      <w:pPr>
        <w:pStyle w:val="ListParagraph"/>
        <w:numPr>
          <w:ilvl w:val="0"/>
          <w:numId w:val="2"/>
        </w:numPr>
        <w:spacing w:after="40" w:before="40"/>
      </w:pPr>
      <w:r>
        <w:rPr>
          <w:sz w:val="22"/>
          <w:szCs w:val="22"/>
        </w:rPr>
        <w:t xml:space="preserve">Those who identify only with the body and senses, failing to realise the immortal Atman within, continue to return to the wheel of birth, death, and rebirth (samsara chakra).</w:t>
      </w:r>
    </w:p>
    <w:p>
      <w:pPr>
        <w:pStyle w:val="ListParagraph"/>
        <w:numPr>
          <w:ilvl w:val="0"/>
          <w:numId w:val="2"/>
        </w:numPr>
        <w:spacing w:after="40" w:before="40"/>
      </w:pPr>
      <w:r>
        <w:rPr>
          <w:sz w:val="22"/>
          <w:szCs w:val="22"/>
        </w:rPr>
        <w:t xml:space="preserve">The path of the preyas (pleasant/agreeable) leads to continued bondage; only the path of the shreyas (auspicious/liberating) — the path of Self-knowledge — leads to permanent liberation.</w:t>
      </w:r>
    </w:p>
    <w:p>
      <w:pPr>
        <w:spacing w:after="80" w:before="60"/>
        <w:jc w:val="both"/>
      </w:pPr>
      <w:r>
        <w:rPr>
          <w:b/>
          <w:bCs/>
          <w:sz w:val="22"/>
          <w:szCs w:val="22"/>
        </w:rPr>
        <w:t xml:space="preserve">Combined Teaching: </w:t>
      </w:r>
      <w:r>
        <w:rPr>
          <w:sz w:val="22"/>
          <w:szCs w:val="22"/>
        </w:rPr>
        <w:t xml:space="preserve">A person who dies without Self-realization continues to be subject to karma and reincarnation, taking rebirth in accordance with accumulated desires and attachments (vasanas). The subtle body, laden with unexhausted samskaras, seeks a new embodiment. The opportunity of a human birth — described in the tradition as extremely rare and precious — is wasted if spent without the pursuit of Self-knowledge. This is why the Kathopanishad emphasises the urgent necessity of seeking a qualified teacher (acharya) to attain this knowledge while alive.</w:t>
      </w:r>
    </w:p>
    <w:p>
      <w:pPr>
        <w:pBdr>
          <w:bottom w:val="single" w:color="C9D9EE" w:sz="4" w:space="4"/>
        </w:pBdr>
        <w:spacing w:after="80" w:before="260"/>
      </w:pPr>
      <w:r>
        <w:rPr>
          <w:b/>
          <w:bCs/>
          <w:color w:val="2E75B6"/>
          <w:sz w:val="24"/>
          <w:szCs w:val="24"/>
        </w:rPr>
        <w:t xml:space="preserve">Q23. </w:t>
      </w:r>
      <w:r>
        <w:rPr>
          <w:b/>
          <w:bCs/>
          <w:color w:val="1F3864"/>
          <w:sz w:val="24"/>
          <w:szCs w:val="24"/>
        </w:rPr>
        <w:t xml:space="preserve">Contrast the "Universal" path of local spirit philosophies (Way X) with the path prescribed by a Guru (Way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Way X — Local Spirit / Universal Path</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Way Y — Guru-Prescribed Path</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Basis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Emerges organically from collective cultural, tribal, or religious traditions of a particular community. Grounded in local mythology, ancestral practices, and communal moral codes.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Based on direct transmission from a realised teacher (Guru) to a qualified disciple. Grounded in universal self-inquiry and personal transformation.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Direction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Outward — oriented toward community harmony, social norms, and the worship of external deities or natural forces.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Inward — oriented toward direct realization of the Self (Atman) beyond all social and cultural conditioning.</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Authority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Diffuse — authority rests in tradition, community elders, or priesthood. Legitimacy derives from ancestral custom (achara).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Concentrated — authority rests in the Guru's personal experience of truth. Legitimacy derives from direct realization (anubhava) and lineage (parampara).</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Goal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Social and cosmic harmony, dharmic living, post-mortem welfare (svarga, good rebirth). Liberation may be a distant goal.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Liberation (Moksha) as the immediate and supreme goal, realised within this very lifetime if possible (jivanmukti).</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Adaptability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Culturally specific; may conflict with universal spiritual principles when taken to extremes (e.g., caste rigidity, exclusivism).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Universal — applicable across cultures; transcends the particular to address the innermost nature of the human being.</w:t>
            </w:r>
          </w:p>
        </w:tc>
      </w:tr>
    </w:tbl>
    <w:p>
      <w:pPr>
        <w:pBdr>
          <w:bottom w:val="single" w:color="C9D9EE" w:sz="4" w:space="4"/>
        </w:pBdr>
        <w:spacing w:after="80" w:before="260"/>
      </w:pPr>
      <w:r>
        <w:rPr>
          <w:b/>
          <w:bCs/>
          <w:color w:val="2E75B6"/>
          <w:sz w:val="24"/>
          <w:szCs w:val="24"/>
        </w:rPr>
        <w:t xml:space="preserve">Q24. </w:t>
      </w:r>
      <w:r>
        <w:rPr>
          <w:b/>
          <w:bCs/>
          <w:color w:val="1F3864"/>
          <w:sz w:val="24"/>
          <w:szCs w:val="24"/>
        </w:rPr>
        <w:t xml:space="preserve">Discuss the challenge of accepting a Guru's path (Way Y) in a society characterised by multiple faiths and diverse opinions.</w:t>
      </w:r>
    </w:p>
    <w:p>
      <w:pPr>
        <w:spacing w:after="80" w:before="60"/>
        <w:jc w:val="both"/>
      </w:pPr>
      <w:r>
        <w:rPr>
          <w:sz w:val="22"/>
          <w:szCs w:val="22"/>
        </w:rPr>
        <w:t xml:space="preserve">In a pluralistic society characterised by the simultaneous presence of multiple religious traditions, philosophical schools, and value systems, the acceptance of a specific Guru's path (Way Y) presents several layers of challenge:</w:t>
      </w:r>
    </w:p>
    <w:p>
      <w:pPr>
        <w:spacing w:after="80" w:before="60"/>
        <w:jc w:val="both"/>
      </w:pPr>
      <w:r>
        <w:rPr>
          <w:b/>
          <w:bCs/>
          <w:sz w:val="22"/>
          <w:szCs w:val="22"/>
        </w:rPr>
        <w:t xml:space="preserve">1. The Challenge of Exclusive Commitment: </w:t>
      </w:r>
      <w:r>
        <w:rPr>
          <w:sz w:val="22"/>
          <w:szCs w:val="22"/>
        </w:rPr>
        <w:t xml:space="preserve">The Guru-disciple (guru-shishya) relationship traditionally demands total surrender (sharanagati) and singular, unwavering commitment to one's Guru's methodology. In a society that valorises choice, pluralism, and the freedom to 'shop' between spiritual teachers and traditions, this depth of commitment appears counterintuitive or even authoritarian. The multiplicity of available teachings can lead to spiritual dilettantism — sampling many paths without going deep in any one.</w:t>
      </w:r>
    </w:p>
    <w:p>
      <w:pPr>
        <w:spacing w:after="80" w:before="60"/>
        <w:jc w:val="both"/>
      </w:pPr>
      <w:r>
        <w:rPr>
          <w:b/>
          <w:bCs/>
          <w:sz w:val="22"/>
          <w:szCs w:val="22"/>
        </w:rPr>
        <w:t xml:space="preserve">2. Epistemological Challenge: </w:t>
      </w:r>
      <w:r>
        <w:rPr>
          <w:sz w:val="22"/>
          <w:szCs w:val="22"/>
        </w:rPr>
        <w:t xml:space="preserve">With diverse traditions each claiming authority and authenticity, an earnest seeker faces the epistemological challenge of discernment (viveka): how does one identify a genuinely realised Guru from among countless self-proclaimed teachers? The Vedantic tradition itself cautions against this difficulty and prescribes the qualities of a true Guru: Shrotriya (deeply versed in scripture) and Brahmanishtha (established in direct experience of Brahman).</w:t>
      </w:r>
    </w:p>
    <w:p>
      <w:pPr>
        <w:spacing w:after="80" w:before="60"/>
        <w:jc w:val="both"/>
      </w:pPr>
      <w:r>
        <w:rPr>
          <w:b/>
          <w:bCs/>
          <w:sz w:val="22"/>
          <w:szCs w:val="22"/>
        </w:rPr>
        <w:t xml:space="preserve">3. Social and Cultural Friction: </w:t>
      </w:r>
      <w:r>
        <w:rPr>
          <w:sz w:val="22"/>
          <w:szCs w:val="22"/>
        </w:rPr>
        <w:t xml:space="preserve">Accepting a Guru from a different religious, linguistic, or caste background than one's own family tradition can create social conflict. In a multi-faith society, following a Guru whose teachings transcend or critique one's birth religion may be perceived as cultural betrayal or apostasy.</w:t>
      </w:r>
    </w:p>
    <w:p>
      <w:pPr>
        <w:spacing w:after="80" w:before="60"/>
        <w:jc w:val="both"/>
      </w:pPr>
      <w:r>
        <w:rPr>
          <w:b/>
          <w:bCs/>
          <w:sz w:val="22"/>
          <w:szCs w:val="22"/>
        </w:rPr>
        <w:t xml:space="preserve">4. Relativism and the Loss of Absolutes: </w:t>
      </w:r>
      <w:r>
        <w:rPr>
          <w:sz w:val="22"/>
          <w:szCs w:val="22"/>
        </w:rPr>
        <w:t xml:space="preserve">Post-modern societal values often promote the view that all spiritual paths are equally valid (perennial philosophy), making the committed adherence to one path seem narrow. However, the Guru tradition argues that while all rivers ultimately meet the ocean, a traveller must choose and walk one path — they cannot walk multiple paths simultaneously and expect to arrive anywhere.</w:t>
      </w:r>
    </w:p>
    <w:p>
      <w:pPr>
        <w:spacing w:after="80" w:before="60"/>
        <w:jc w:val="both"/>
      </w:pPr>
      <w:r>
        <w:rPr>
          <w:b/>
          <w:bCs/>
          <w:sz w:val="22"/>
          <w:szCs w:val="22"/>
        </w:rPr>
        <w:t xml:space="preserve">Synthesis: </w:t>
      </w:r>
      <w:r>
        <w:rPr>
          <w:sz w:val="22"/>
          <w:szCs w:val="22"/>
        </w:rPr>
        <w:t xml:space="preserve">The challenge is not to reject pluralism but to achieve depth within it. The dharmic tradition itself honours the multiplicity of paths (marga-vividhata) while affirming that the fruit — liberation — can only be realised through sincere, sustained practice under qualified guidance. As the Katha and Mundaka Upanishads affirm: 'This Atman cannot be attained by the weak; it requires intense yearning, a qualified teacher, and disciplined perseverance.'</w:t>
      </w:r>
    </w:p>
    <w:p>
      <w:pPr>
        <w:spacing w:before="400"/>
      </w:pPr>
    </w:p>
    <w:p>
      <w:pPr>
        <w:spacing w:after="200" w:before="200"/>
        <w:jc w:val="center"/>
      </w:pPr>
      <w:r>
        <w:rPr>
          <w:b/>
          <w:bCs/>
          <w:i/>
          <w:iCs/>
          <w:color w:val="555555"/>
          <w:sz w:val="22"/>
          <w:szCs w:val="22"/>
        </w:rPr>
        <w:t xml:space="preserve">— End of Assignment 2 Solutions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color w:val="555555"/>
        <w:sz w:val="18"/>
        <w:szCs w:val="18"/>
      </w:rPr>
      <w:t xml:space="preserve">S'O'A Deemed to be University, ITER  |  B.Tech CSE/CSIT  |  Semester VIII  |  2026/Even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color w:val="555555"/>
        <w:sz w:val="18"/>
        <w:szCs w:val="18"/>
      </w:rPr>
      <w:t xml:space="preserve">IKS4003 – Science and Technology in Ancient India | Assignment-2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2026-04-20T18:09:47.834Z</dcterms:created>
  <dcterms:modified xsi:type="dcterms:W3CDTF">2026-04-20T18:09:47.835Z</dcterms:modified>
</cp:coreProperties>
</file>

<file path=docProps/custom.xml><?xml version="1.0" encoding="utf-8"?>
<Properties xmlns="http://schemas.openxmlformats.org/officeDocument/2006/custom-properties" xmlns:vt="http://schemas.openxmlformats.org/officeDocument/2006/docPropsVTypes"/>
</file>