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234440" cy="1234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eva_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23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Arial" w:hAnsi="Arial"/>
          <w:b/>
          <w:color w:val="0B1F33"/>
          <w:sz w:val="52"/>
        </w:rPr>
        <w:t>CUEVA</w:t>
        <w:br/>
        <w:t>BUSINESS PLAN DEFINITIVO</w:t>
      </w:r>
    </w:p>
    <w:p>
      <w:pPr>
        <w:jc w:val="left"/>
      </w:pPr>
      <w:r>
        <w:rPr>
          <w:rFonts w:ascii="Arial" w:hAnsi="Arial"/>
          <w:color w:val="159A76"/>
          <w:sz w:val="30"/>
        </w:rPr>
        <w:t>Sistema Operativo del Activo Construido Verificable</w:t>
      </w:r>
    </w:p>
    <w:p>
      <w:pPr>
        <w:spacing w:line="271" w:lineRule="auto" w:after="120"/>
      </w:pPr>
      <w:r>
        <w:rPr>
          <w:rFonts w:ascii="Arial" w:hAnsi="Arial"/>
          <w:color w:val="26323F"/>
          <w:sz w:val="20"/>
        </w:rPr>
        <w:t>Documento para posibles interesados cualificados. Integra valor actual de referencia, exposición del proyecto y producto, líneas de negocio, plan 300K, plan CUEVA Total 2030, modelo financiero validado y arquitectura de ejecución por gates.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Bloque</w:t>
            </w:r>
          </w:p>
        </w:tc>
        <w:tc>
          <w:tcPr>
            <w:tcW w:type="dxa" w:w="2880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Cifra / tesis</w:t>
            </w:r>
          </w:p>
        </w:tc>
        <w:tc>
          <w:tcPr>
            <w:tcW w:type="dxa" w:w="4608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Lectura</w:t>
            </w:r>
          </w:p>
        </w:tc>
      </w:tr>
      <w:tr>
        <w:tc>
          <w:tcPr>
            <w:tcW w:type="dxa" w:w="2160"/>
            <w:vAlign w:val="center"/>
            <w:shd w:fill="F7F9FB"/>
          </w:tcPr>
          <w:p>
            <w:r>
              <w:t>Valor actual de referencia</w:t>
            </w:r>
            <w:r>
              <w:rPr>
                <w:rFonts w:ascii="Arial" w:hAnsi="Arial"/>
                <w:b w:val="0"/>
                <w:color w:val="26323F"/>
                <w:sz w:val="16"/>
              </w:rPr>
            </w:r>
          </w:p>
        </w:tc>
        <w:tc>
          <w:tcPr>
            <w:tcW w:type="dxa" w:w="288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4.216.174,70 €</w:t>
            </w:r>
          </w:p>
        </w:tc>
        <w:tc>
          <w:tcPr>
            <w:tcW w:type="dxa" w:w="4608"/>
            <w:vAlign w:val="center"/>
            <w:shd w:fill="F7F9FB"/>
          </w:tcPr>
          <w:p>
            <w:r>
              <w:t>Base construida por inversión acumulada, familias técnicas y producto actual.</w:t>
            </w:r>
            <w:r>
              <w:rPr>
                <w:rFonts w:ascii="Arial" w:hAnsi="Arial"/>
                <w:b w:val="0"/>
                <w:color w:val="26323F"/>
                <w:sz w:val="16"/>
              </w:rPr>
            </w:r>
          </w:p>
        </w:tc>
      </w:tr>
      <w:tr>
        <w:tc>
          <w:tcPr>
            <w:tcW w:type="dxa" w:w="2160"/>
            <w:vAlign w:val="center"/>
          </w:tcPr>
          <w:p>
            <w:r>
              <w:t>Hub Valeriano</w:t>
            </w:r>
          </w:p>
        </w:tc>
        <w:tc>
          <w:tcPr>
            <w:tcW w:type="dxa" w:w="2880"/>
            <w:vAlign w:val="center"/>
          </w:tcPr>
          <w:p>
            <w:r>
              <w:t>66.400 €</w:t>
            </w:r>
          </w:p>
        </w:tc>
        <w:tc>
          <w:tcPr>
            <w:tcW w:type="dxa" w:w="4608"/>
            <w:vAlign w:val="center"/>
          </w:tcPr>
          <w:p>
            <w:r>
              <w:t>Activa reducción de riesgo: equipo, producto, comercialización, hub y cierres operativos.</w:t>
            </w:r>
            <w:r>
              <w:rPr>
                <w:rFonts w:ascii="Arial" w:hAnsi="Arial"/>
                <w:b w:val="0"/>
                <w:color w:val="26323F"/>
                <w:sz w:val="16"/>
              </w:rPr>
            </w:r>
          </w:p>
        </w:tc>
      </w:tr>
      <w:tr>
        <w:tc>
          <w:tcPr>
            <w:tcW w:type="dxa" w:w="216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Plan 2027</w:t>
            </w:r>
          </w:p>
        </w:tc>
        <w:tc>
          <w:tcPr>
            <w:tcW w:type="dxa" w:w="288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1,67 M€ ingresos base / 1,104 M€ ponderado</w:t>
            </w:r>
          </w:p>
        </w:tc>
        <w:tc>
          <w:tcPr>
            <w:tcW w:type="dxa" w:w="460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Pipeline reconstruido con un solo KIWA/RMOOB y fees de red por m².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Escala 2030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192,0 M€ ingresos / 107,9 M€ EBITDA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Scale Case condicionado a capital, red de partners, m² y stock vivo.</w:t>
            </w:r>
          </w:p>
        </w:tc>
      </w:tr>
      <w:tr>
        <w:tc>
          <w:tcPr>
            <w:tcW w:type="dxa" w:w="216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Valor 2030</w:t>
            </w:r>
          </w:p>
        </w:tc>
        <w:tc>
          <w:tcPr>
            <w:tcW w:type="dxa" w:w="288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1.599,8 M€ EV midpoint</w:t>
            </w:r>
          </w:p>
        </w:tc>
        <w:tc>
          <w:tcPr>
            <w:tcW w:type="dxa" w:w="460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Triangulación por ingresos y EBITDA, contrastada con SOTP.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37071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ver_kpi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707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67085"/>
          <w:sz w:val="17"/>
        </w:rPr>
        <w:t>Figura 0. Tesis ejecutiva de cifras y lectura correcta del BP.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B1F33"/>
        </w:rPr>
        <w:t>Mapa del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008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Parte</w:t>
            </w:r>
          </w:p>
        </w:tc>
        <w:tc>
          <w:tcPr>
            <w:tcW w:type="dxa" w:w="4320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Contenido</w:t>
            </w:r>
          </w:p>
        </w:tc>
        <w:tc>
          <w:tcPr>
            <w:tcW w:type="dxa" w:w="4320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Decisión que permite</w:t>
            </w:r>
          </w:p>
        </w:tc>
      </w:tr>
      <w:tr>
        <w:tc>
          <w:tcPr>
            <w:tcW w:type="dxa" w:w="100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I</w:t>
            </w:r>
          </w:p>
        </w:tc>
        <w:tc>
          <w:tcPr>
            <w:tcW w:type="dxa" w:w="432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Tesis, categoría, problema y oportunidad</w:t>
            </w:r>
          </w:p>
        </w:tc>
        <w:tc>
          <w:tcPr>
            <w:tcW w:type="dxa" w:w="432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Entender qué es CUEVA y por qué existe ahora.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II</w:t>
            </w:r>
          </w:p>
        </w:tc>
        <w:tc>
          <w:tcPr>
            <w:tcW w:type="dxa" w:w="4320"/>
            <w:vAlign w:val="center"/>
          </w:tcPr>
          <w:p>
            <w:r>
              <w:t>Activo construido e inversión acumulada</w:t>
            </w:r>
            <w:r>
              <w:rPr>
                <w:rFonts w:ascii="Arial" w:hAnsi="Arial"/>
                <w:b w:val="0"/>
                <w:color w:val="26323F"/>
                <w:sz w:val="16"/>
              </w:rPr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Defender la valoración de partida sin basarla en caja futura.</w:t>
            </w:r>
          </w:p>
        </w:tc>
      </w:tr>
      <w:tr>
        <w:tc>
          <w:tcPr>
            <w:tcW w:type="dxa" w:w="100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III</w:t>
            </w:r>
          </w:p>
        </w:tc>
        <w:tc>
          <w:tcPr>
            <w:tcW w:type="dxa" w:w="432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Producto, arquitectura y líneas</w:t>
            </w:r>
          </w:p>
        </w:tc>
        <w:tc>
          <w:tcPr>
            <w:tcW w:type="dxa" w:w="432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Ver que el activo es producto modular, no solo relato tecnológico.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IV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Modelo de negocio y unit economics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Separar pagador, trigger, calidad de ingreso y margen.</w:t>
            </w:r>
          </w:p>
        </w:tc>
      </w:tr>
      <w:tr>
        <w:tc>
          <w:tcPr>
            <w:tcW w:type="dxa" w:w="100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V</w:t>
            </w:r>
          </w:p>
        </w:tc>
        <w:tc>
          <w:tcPr>
            <w:tcW w:type="dxa" w:w="432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Plan 300K y 2027</w:t>
            </w:r>
          </w:p>
        </w:tc>
        <w:tc>
          <w:tcPr>
            <w:tcW w:type="dxa" w:w="4320"/>
            <w:vAlign w:val="center"/>
            <w:shd w:fill="F7F9FB"/>
          </w:tcPr>
          <w:p>
            <w:r>
              <w:t>Identificar qué activa el tramo inmediato y con qué gates.</w:t>
            </w:r>
            <w:r>
              <w:rPr>
                <w:rFonts w:ascii="Arial" w:hAnsi="Arial"/>
                <w:b w:val="0"/>
                <w:color w:val="26323F"/>
                <w:sz w:val="16"/>
              </w:rPr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VI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Plan CUEVA Total 2030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Diferenciar plan obligatorio de Scale Case condicionado.</w:t>
            </w:r>
          </w:p>
        </w:tc>
      </w:tr>
      <w:tr>
        <w:tc>
          <w:tcPr>
            <w:tcW w:type="dxa" w:w="100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VII</w:t>
            </w:r>
          </w:p>
        </w:tc>
        <w:tc>
          <w:tcPr>
            <w:tcW w:type="dxa" w:w="432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Valoración, riesgos y operación inversora</w:t>
            </w:r>
          </w:p>
        </w:tc>
        <w:tc>
          <w:tcPr>
            <w:tcW w:type="dxa" w:w="432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Aterrizar rango, hitos, riesgos y documentación de soporte.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0B1F33"/>
        </w:rPr>
        <w:t>1. Resumen ejecutivo y tesis de inversión</w:t>
      </w:r>
    </w:p>
    <w:p>
      <w:pPr>
        <w:spacing w:line="271" w:lineRule="auto" w:after="120"/>
      </w:pPr>
      <w:r>
        <w:rPr>
          <w:rFonts w:ascii="Arial" w:hAnsi="Arial"/>
          <w:color w:val="26323F"/>
          <w:sz w:val="20"/>
        </w:rPr>
        <w:t>CUEVA es la evolución de más de una década de desarrollo técnico, industrial, digital y comercial: un Sistema Operativo del Activo Construido Verificable que convierte diseño, fabricación, logística, montaje, evidencia, documentación y operación en una red de activos vivos, identificados y explotables.</w:t>
      </w:r>
    </w:p>
    <w:p>
      <w:pPr>
        <w:spacing w:line="271" w:lineRule="auto" w:after="120"/>
      </w:pPr>
      <w:r>
        <w:rPr>
          <w:rFonts w:ascii="Arial" w:hAnsi="Arial"/>
          <w:color w:val="26323F"/>
          <w:sz w:val="20"/>
        </w:rPr>
        <w:t>La tesis de inversión se articula en tres niveles encadenados por hitos verificables. Primero, un valor actual de referencia de 4.216.174,70 €, construido por inversión acumulada y activo técnico-producto. Segundo, un plan inmediato de 300.000 € para convertir ese activo en compañía comercializable, medible y financiable. Tercero, un plan CUEVA Total 2030 que escala la red si se cumplen los gates de producto, contratos, caja, partners y capital.</w:t>
      </w:r>
    </w:p>
    <w:p>
      <w:pPr>
        <w:spacing w:line="271" w:lineRule="auto" w:after="120"/>
      </w:pPr>
      <w:r>
        <w:rPr>
          <w:rFonts w:ascii="Arial" w:hAnsi="Arial"/>
          <w:b/>
          <w:color w:val="0B1F33"/>
          <w:sz w:val="20"/>
        </w:rPr>
        <w:t>No vendemos una promesa de 1.000 M€. Mensaje de lectura.</w:t>
      </w:r>
      <w:r>
        <w:rPr>
          <w:rFonts w:ascii="Arial" w:hAnsi="Arial"/>
          <w:color w:val="26323F"/>
          <w:sz w:val="20"/>
        </w:rPr>
      </w:r>
    </w:p>
    <w:p>
      <w:pPr>
        <w:spacing w:line="271" w:lineRule="auto" w:after="120"/>
      </w:pPr>
      <w:r>
        <w:rPr>
          <w:rFonts w:ascii="Arial" w:hAnsi="Arial"/>
          <w:color w:val="26323F"/>
          <w:sz w:val="20"/>
        </w:rPr>
        <w:t>Vendemos una compañía con valor actual de referencia de 4,216 M€, un plan 300K para alcanzar una posición 2027 mucho más robusta y una opción real de escala 2030 que solo se desbloquea si los hitos se cumplen. El capital inmediato no compra el escenario unicornio; compra la opción verificable de construirlo.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37071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sset_os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707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67085"/>
          <w:sz w:val="17"/>
        </w:rPr>
        <w:t>Figura 1. CUEVA como capa operativa continua sobre el activo físico.</w:t>
      </w:r>
    </w:p>
    <w:p>
      <w:pPr>
        <w:pStyle w:val="Heading1"/>
      </w:pPr>
      <w:r>
        <w:rPr>
          <w:rFonts w:ascii="Arial" w:hAnsi="Arial"/>
          <w:color w:val="0B1F33"/>
        </w:rPr>
        <w:t>2. Qué es CUEVA y qué no 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680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CUEVA es</w:t>
            </w:r>
          </w:p>
        </w:tc>
        <w:tc>
          <w:tcPr>
            <w:tcW w:type="dxa" w:w="4680"/>
            <w:vAlign w:val="center"/>
            <w:shd w:fill="0B1F33"/>
          </w:tcPr>
          <w:p>
            <w:r>
              <w:t>CUEVA no debe presentarse como</w:t>
            </w:r>
            <w:r>
              <w:rPr>
                <w:rFonts w:ascii="Arial" w:hAnsi="Arial"/>
                <w:b/>
                <w:color w:val="FFFFFF"/>
                <w:sz w:val="16"/>
              </w:rPr>
            </w:r>
          </w:p>
        </w:tc>
      </w:tr>
      <w:tr>
        <w:tc>
          <w:tcPr>
            <w:tcW w:type="dxa" w:w="468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Una red de activos construidos identificados, probados y operables.</w:t>
            </w:r>
          </w:p>
        </w:tc>
        <w:tc>
          <w:tcPr>
            <w:tcW w:type="dxa" w:w="468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Una constructora tradicional con margen de obra.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Una capa de identidad, POI, DPP, datos, mantenimiento y financiación futura.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Un software genérico de gestión de obra.</w:t>
            </w:r>
          </w:p>
        </w:tc>
      </w:tr>
      <w:tr>
        <w:tc>
          <w:tcPr>
            <w:tcW w:type="dxa" w:w="468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Un sistema de industrialización, evidencia y gobernanza físico-digital.</w:t>
            </w:r>
          </w:p>
        </w:tc>
        <w:tc>
          <w:tcPr>
            <w:tcW w:type="dxa" w:w="468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Un claim abstracto de plataforma universal sin foco.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Un modelo con implementación, activación, evidencia, licencias, datos y stock vivo.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Un royalty industrial opaco cargado al partner.</w:t>
            </w:r>
          </w:p>
        </w:tc>
      </w:tr>
    </w:tbl>
    <w:p/>
    <w:p>
      <w:pPr>
        <w:spacing w:line="271" w:lineRule="auto" w:after="120"/>
      </w:pPr>
      <w:r>
        <w:rPr>
          <w:rFonts w:ascii="Arial" w:hAnsi="Arial"/>
          <w:color w:val="26323F"/>
          <w:sz w:val="20"/>
        </w:rPr>
        <w:t>La categoría correcta es Evidence-Verified Construction Asset OS: infraestructura de emisión, prueba y operación de activos construidos. El núcleo no es fabricar; es convertir cada pieza, lote, m², instalación, mantenimiento, reposición y evento de vida útil en evidencia explotable por clientes, administraciones, financiadores, aseguradoras, certificadoras, licenciatarios y operadores.</w:t>
      </w:r>
    </w:p>
    <w:p>
      <w:pPr>
        <w:spacing w:line="271" w:lineRule="auto" w:after="120"/>
      </w:pPr>
      <w:r>
        <w:rPr>
          <w:rFonts w:ascii="Arial" w:hAnsi="Arial"/>
          <w:color w:val="26323F"/>
          <w:sz w:val="20"/>
        </w:rPr>
        <w:t>La lógica del volumen es simple: el m² es el combustible, la evidencia es el margen, el stock vivo es el multiplicador y los servicios de datos/operación son la opción de breakout. CUEVA escala porque cada metro construido entra en una red de evidencia, mantenimiento, datos y servicios.</w:t>
      </w:r>
    </w:p>
    <w:p>
      <w:pPr>
        <w:pStyle w:val="Heading1"/>
      </w:pPr>
      <w:r>
        <w:rPr>
          <w:rFonts w:ascii="Arial" w:hAnsi="Arial"/>
          <w:color w:val="0B1F33"/>
        </w:rPr>
        <w:t>3. Contexto sectorial y momento regulatorio</w:t>
      </w:r>
    </w:p>
    <w:p>
      <w:pPr>
        <w:spacing w:line="271" w:lineRule="auto" w:after="120"/>
      </w:pPr>
      <w:r>
        <w:rPr>
          <w:rFonts w:ascii="Arial" w:hAnsi="Arial"/>
          <w:color w:val="26323F"/>
          <w:sz w:val="20"/>
        </w:rPr>
        <w:t>El sector está entrando en una etapa donde la trazabilidad, los datos de producto, la circularidad, el mantenimiento y la documentación verificable dejan de ser elementos accesorios. CUEVA llega con POI, DPP, Asset ID, workflows y Carpeta Madre como producto, no como promesa a desarrollar desde cero.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Viento de cola</w:t>
            </w:r>
          </w:p>
        </w:tc>
        <w:tc>
          <w:tcPr>
            <w:tcW w:type="dxa" w:w="2592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Fuente</w:t>
            </w:r>
          </w:p>
        </w:tc>
        <w:tc>
          <w:tcPr>
            <w:tcW w:type="dxa" w:w="4896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Lectura para CUEVA</w:t>
            </w:r>
          </w:p>
        </w:tc>
      </w:tr>
      <w:tr>
        <w:tc>
          <w:tcPr>
            <w:tcW w:type="dxa" w:w="216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Data Act</w:t>
            </w:r>
          </w:p>
        </w:tc>
        <w:tc>
          <w:tcPr>
            <w:tcW w:type="dxa" w:w="2592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Reglamento (UE) 2023/2854</w:t>
            </w:r>
          </w:p>
        </w:tc>
        <w:tc>
          <w:tcPr>
            <w:tcW w:type="dxa" w:w="4896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Aplicable desde 12/09/2025; obligación de diseño de acceso a datos para productos conectados desde 12/09/2026.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ESPR / ecodiseño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Reglamento (UE) 2024/1781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Marco para requisitos de sostenibilidad y pasaporte digital de producto mediante actos delegados por grupos de producto.</w:t>
            </w:r>
          </w:p>
        </w:tc>
      </w:tr>
    </w:tbl>
    <w:p/>
    <w:p>
      <w:pPr>
        <w:spacing w:after="100"/>
        <w:ind w:left="216"/>
      </w:pPr>
      <w:r>
        <w:rPr>
          <w:rFonts w:ascii="Arial" w:hAnsi="Arial"/>
          <w:i/>
          <w:color w:val="667085"/>
          <w:sz w:val="17"/>
        </w:rPr>
        <w:t>Fuentes oficiales consultadas: EUR-Lex/Data Act y EUR-Lex/ESPR. Los claims regulatorios concretos deben revisarse siempre antes de usarse en contrato o material comercial.</w:t>
      </w:r>
    </w:p>
    <w:p>
      <w:pPr>
        <w:pStyle w:val="Heading1"/>
      </w:pPr>
      <w:r>
        <w:rPr>
          <w:rFonts w:ascii="Arial" w:hAnsi="Arial"/>
          <w:color w:val="0B1F33"/>
        </w:rPr>
        <w:t>4. Valoración de partida: 4.216.174,70 €</w:t>
      </w:r>
    </w:p>
    <w:p>
      <w:pPr>
        <w:spacing w:line="271" w:lineRule="auto" w:after="120"/>
      </w:pPr>
      <w:r>
        <w:rPr>
          <w:rFonts w:ascii="Arial" w:hAnsi="Arial"/>
          <w:color w:val="26323F"/>
          <w:sz w:val="20"/>
        </w:rPr>
        <w:t>La valoración actual no descansa en previsiones de caja. Descansa en coste de construcción de activo, profundidad técnica, presupuestos externos de I+D, aprendizaje acumulado, producto modular, casos y relaciones. Se formula como valor de referencia razonado, no como tasación independiente.</w:t>
      </w:r>
    </w:p>
    <w:p>
      <w:pPr>
        <w:spacing w:line="271" w:lineRule="auto" w:after="120"/>
      </w:pPr>
      <w:r>
        <w:rPr>
          <w:rFonts w:ascii="Arial" w:hAnsi="Arial"/>
          <w:color w:val="26323F"/>
          <w:sz w:val="20"/>
        </w:rPr>
        <w:t>La lectura se organiza en tres etapas: fundación conceptual 2012/13-2018; desarrollo EDRO/CEREBRO 2019-2022/23; productización CUEVA OS desde 2023. La clave no es mostrar una cifra agregada, sino explicar qué capacidad concreta se creó y cómo se monetiza hoy.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37071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investment_famili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707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67085"/>
          <w:sz w:val="17"/>
        </w:rPr>
        <w:t>Figura 2. Inversión acumulada por familias técnicas y TRL de lectura actual.</w:t>
      </w:r>
    </w:p>
    <w:p>
      <w:pPr>
        <w:pStyle w:val="Heading2"/>
      </w:pPr>
      <w:r>
        <w:rPr>
          <w:rFonts w:ascii="Arial" w:hAnsi="Arial"/>
          <w:color w:val="0B1F33"/>
        </w:rPr>
        <w:t>4.1. Familias técnicas de inversión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88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Familia</w:t>
            </w:r>
          </w:p>
        </w:tc>
        <w:tc>
          <w:tcPr>
            <w:tcW w:type="dxa" w:w="1368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Periodo</w:t>
            </w:r>
          </w:p>
        </w:tc>
        <w:tc>
          <w:tcPr>
            <w:tcW w:type="dxa" w:w="1440"/>
            <w:vAlign w:val="center"/>
            <w:shd w:fill="0B1F33"/>
          </w:tcPr>
          <w:p>
            <w:r>
              <w:t>Inversión</w:t>
            </w:r>
            <w:r>
              <w:rPr>
                <w:rFonts w:ascii="Arial" w:hAnsi="Arial"/>
                <w:b/>
                <w:color w:val="FFFFFF"/>
                <w:sz w:val="14"/>
              </w:rPr>
            </w:r>
          </w:p>
        </w:tc>
        <w:tc>
          <w:tcPr>
            <w:tcW w:type="dxa" w:w="720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TRL</w:t>
            </w:r>
          </w:p>
        </w:tc>
        <w:tc>
          <w:tcPr>
            <w:tcW w:type="dxa" w:w="4464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Lectura de producto</w:t>
            </w:r>
          </w:p>
        </w:tc>
      </w:tr>
      <w:tr>
        <w:tc>
          <w:tcPr>
            <w:tcW w:type="dxa" w:w="208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Fundación técnica</w:t>
            </w:r>
          </w:p>
        </w:tc>
        <w:tc>
          <w:tcPr>
            <w:tcW w:type="dxa" w:w="136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2012/13-2018</w:t>
            </w:r>
          </w:p>
        </w:tc>
        <w:tc>
          <w:tcPr>
            <w:tcW w:type="dxa" w:w="144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425.000,00 €</w:t>
            </w:r>
          </w:p>
        </w:tc>
        <w:tc>
          <w:tcPr>
            <w:tcW w:type="dxa" w:w="72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8/9</w:t>
            </w:r>
          </w:p>
        </w:tc>
        <w:tc>
          <w:tcPr>
            <w:tcW w:type="dxa" w:w="446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Reglas de dominio, geometría, mecánicas, arquitectura y método base.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Sistema físico + DfMA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2019-2022/23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273.326,40 €</w:t>
            </w:r>
          </w:p>
        </w:tc>
        <w:tc>
          <w:tcPr>
            <w:tcW w:type="dxa" w:w="72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8/9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Sistema reproducible, prototipos, industrialización inicial e identidad pieza-activo.</w:t>
            </w:r>
          </w:p>
        </w:tc>
      </w:tr>
      <w:tr>
        <w:tc>
          <w:tcPr>
            <w:tcW w:type="dxa" w:w="208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CEREBRO + software/datos</w:t>
            </w:r>
          </w:p>
        </w:tc>
        <w:tc>
          <w:tcPr>
            <w:tcW w:type="dxa" w:w="136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2019-2022/23</w:t>
            </w:r>
          </w:p>
        </w:tc>
        <w:tc>
          <w:tcPr>
            <w:tcW w:type="dxa" w:w="144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375.000,00 €</w:t>
            </w:r>
          </w:p>
        </w:tc>
        <w:tc>
          <w:tcPr>
            <w:tcW w:type="dxa" w:w="72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8/9</w:t>
            </w:r>
          </w:p>
        </w:tc>
        <w:tc>
          <w:tcPr>
            <w:tcW w:type="dxa" w:w="446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Núcleo de plataforma, modelo de datos, API, seguridad y workflows.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IoT + comunicaciones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2019-2022/23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180.000,00 €</w:t>
            </w:r>
          </w:p>
        </w:tc>
        <w:tc>
          <w:tcPr>
            <w:tcW w:type="dxa" w:w="72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8/9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Captura de estados, eventos y conexión físico-digital.</w:t>
            </w:r>
          </w:p>
        </w:tc>
      </w:tr>
      <w:tr>
        <w:tc>
          <w:tcPr>
            <w:tcW w:type="dxa" w:w="208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Operativa industrial</w:t>
            </w:r>
          </w:p>
        </w:tc>
        <w:tc>
          <w:tcPr>
            <w:tcW w:type="dxa" w:w="136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2019-2022/23</w:t>
            </w:r>
          </w:p>
        </w:tc>
        <w:tc>
          <w:tcPr>
            <w:tcW w:type="dxa" w:w="144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794.758,65 €</w:t>
            </w:r>
          </w:p>
        </w:tc>
        <w:tc>
          <w:tcPr>
            <w:tcW w:type="dxa" w:w="72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8/9</w:t>
            </w:r>
          </w:p>
        </w:tc>
        <w:tc>
          <w:tcPr>
            <w:tcW w:type="dxa" w:w="446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Factory OS, Warehouse OS, Factory Flow, Site OS y procedimientos de ejecución.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Ingeniero virtual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2021-2023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261.964,80 €</w:t>
            </w:r>
          </w:p>
        </w:tc>
        <w:tc>
          <w:tcPr>
            <w:tcW w:type="dxa" w:w="72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8/9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Reglas, modelos y asistencia técnica CAD/BIM/cálculo.</w:t>
            </w:r>
          </w:p>
        </w:tc>
      </w:tr>
      <w:tr>
        <w:tc>
          <w:tcPr>
            <w:tcW w:type="dxa" w:w="208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Vida + comunidad</w:t>
            </w:r>
          </w:p>
        </w:tc>
        <w:tc>
          <w:tcPr>
            <w:tcW w:type="dxa" w:w="136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2021-2023</w:t>
            </w:r>
          </w:p>
        </w:tc>
        <w:tc>
          <w:tcPr>
            <w:tcW w:type="dxa" w:w="144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236.124,85 €</w:t>
            </w:r>
          </w:p>
        </w:tc>
        <w:tc>
          <w:tcPr>
            <w:tcW w:type="dxa" w:w="72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8/9</w:t>
            </w:r>
          </w:p>
        </w:tc>
        <w:tc>
          <w:tcPr>
            <w:tcW w:type="dxa" w:w="446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Mantenimiento, permisos, circularidad, postventa y comunidad.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DPP / pasaporte digital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2023-2026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220.000,00 €</w:t>
            </w:r>
          </w:p>
        </w:tc>
        <w:tc>
          <w:tcPr>
            <w:tcW w:type="dxa" w:w="72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8/9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Carpeta Madre, historial vivo y trazabilidad explotable del activo.</w:t>
            </w:r>
          </w:p>
        </w:tc>
      </w:tr>
      <w:tr>
        <w:tc>
          <w:tcPr>
            <w:tcW w:type="dxa" w:w="208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POI / prueba de instalación</w:t>
            </w:r>
          </w:p>
        </w:tc>
        <w:tc>
          <w:tcPr>
            <w:tcW w:type="dxa" w:w="136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2023-2026</w:t>
            </w:r>
          </w:p>
        </w:tc>
        <w:tc>
          <w:tcPr>
            <w:tcW w:type="dxa" w:w="144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190.000,00 €</w:t>
            </w:r>
          </w:p>
        </w:tc>
        <w:tc>
          <w:tcPr>
            <w:tcW w:type="dxa" w:w="72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8/9</w:t>
            </w:r>
          </w:p>
        </w:tc>
        <w:tc>
          <w:tcPr>
            <w:tcW w:type="dxa" w:w="446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Evidencia de instalación, recepción, responsable, regla y audit trail.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Activos digitales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2023-2026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260.000,00 €</w:t>
            </w:r>
          </w:p>
        </w:tc>
        <w:tc>
          <w:tcPr>
            <w:tcW w:type="dxa" w:w="72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5/9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Gemelo digital, metadatos, derechos, tokenización y servicios transaccionales futuros.</w:t>
            </w:r>
          </w:p>
        </w:tc>
      </w:tr>
      <w:tr>
        <w:tc>
          <w:tcPr>
            <w:tcW w:type="dxa" w:w="208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Designer + vivienda generativa</w:t>
            </w:r>
          </w:p>
        </w:tc>
        <w:tc>
          <w:tcPr>
            <w:tcW w:type="dxa" w:w="136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2023-2026</w:t>
            </w:r>
          </w:p>
        </w:tc>
        <w:tc>
          <w:tcPr>
            <w:tcW w:type="dxa" w:w="144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255.000,00 €</w:t>
            </w:r>
          </w:p>
        </w:tc>
        <w:tc>
          <w:tcPr>
            <w:tcW w:type="dxa" w:w="72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8/9</w:t>
            </w:r>
          </w:p>
        </w:tc>
        <w:tc>
          <w:tcPr>
            <w:tcW w:type="dxa" w:w="446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Motor de alternativas, reglas, familias constructivas y generación vía API.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GIS + capa territorial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2023-2026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150.000,00 €</w:t>
            </w:r>
          </w:p>
        </w:tc>
        <w:tc>
          <w:tcPr>
            <w:tcW w:type="dxa" w:w="72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8/9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iPath, geolocalización, rutas, activos urbanos y analítica territorial.</w:t>
            </w:r>
          </w:p>
        </w:tc>
      </w:tr>
      <w:tr>
        <w:tc>
          <w:tcPr>
            <w:tcW w:type="dxa" w:w="208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Manager + Project Room</w:t>
            </w:r>
          </w:p>
        </w:tc>
        <w:tc>
          <w:tcPr>
            <w:tcW w:type="dxa" w:w="136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2023-2026</w:t>
            </w:r>
          </w:p>
        </w:tc>
        <w:tc>
          <w:tcPr>
            <w:tcW w:type="dxa" w:w="144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210.000,00 €</w:t>
            </w:r>
          </w:p>
        </w:tc>
        <w:tc>
          <w:tcPr>
            <w:tcW w:type="dxa" w:w="72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8/9</w:t>
            </w:r>
          </w:p>
        </w:tc>
        <w:tc>
          <w:tcPr>
            <w:tcW w:type="dxa" w:w="446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Coordinación multiagente, permisos, estado, decisión y entrega.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Neuronas + apps de lectura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2023-2026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170.000,00 €</w:t>
            </w:r>
          </w:p>
        </w:tc>
        <w:tc>
          <w:tcPr>
            <w:tcW w:type="dxa" w:w="72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8/9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Captura de campo por QR/NFC/chip, apps, lectores y eventos.</w:t>
            </w:r>
          </w:p>
        </w:tc>
      </w:tr>
      <w:tr>
        <w:tc>
          <w:tcPr>
            <w:tcW w:type="dxa" w:w="208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Market OS + activos comerciales</w:t>
            </w:r>
          </w:p>
        </w:tc>
        <w:tc>
          <w:tcPr>
            <w:tcW w:type="dxa" w:w="136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2023-2026</w:t>
            </w:r>
          </w:p>
        </w:tc>
        <w:tc>
          <w:tcPr>
            <w:tcW w:type="dxa" w:w="144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215.000,00 €</w:t>
            </w:r>
          </w:p>
        </w:tc>
        <w:tc>
          <w:tcPr>
            <w:tcW w:type="dxa" w:w="72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8/9</w:t>
            </w:r>
          </w:p>
        </w:tc>
        <w:tc>
          <w:tcPr>
            <w:tcW w:type="dxa" w:w="446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Oferta modular, Benefits OS, carta de servicios, white label y canal.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B1F33"/>
        </w:rPr>
        <w:t>4.2. Benchmarks externos de alcance técnico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728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Origen</w:t>
            </w:r>
          </w:p>
        </w:tc>
        <w:tc>
          <w:tcPr>
            <w:tcW w:type="dxa" w:w="1800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Presupuesto / alcance</w:t>
            </w:r>
          </w:p>
        </w:tc>
        <w:tc>
          <w:tcPr>
            <w:tcW w:type="dxa" w:w="3384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Qué valida</w:t>
            </w:r>
          </w:p>
        </w:tc>
        <w:tc>
          <w:tcPr>
            <w:tcW w:type="dxa" w:w="2880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Límite de uso</w:t>
            </w:r>
          </w:p>
        </w:tc>
      </w:tr>
      <w:tr>
        <w:tc>
          <w:tcPr>
            <w:tcW w:type="dxa" w:w="172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CDTI</w:t>
            </w:r>
          </w:p>
        </w:tc>
        <w:tc>
          <w:tcPr>
            <w:tcW w:type="dxa" w:w="180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998.842,09 €</w:t>
            </w:r>
          </w:p>
        </w:tc>
        <w:tc>
          <w:tcPr>
            <w:tcW w:type="dxa" w:w="338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Sistema físico, placa, DfMA, prototipos, ensayos y maquinaria</w:t>
            </w:r>
          </w:p>
        </w:tc>
        <w:tc>
          <w:tcPr>
            <w:tcW w:type="dxa" w:w="288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Referencia técnica de alcance; no financiación recibida ni obligación de devolución.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Cervera fase 1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837.880,00 €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Datos, software, IoT, fabricación inteligente, despiece y cálculo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Contraste de complejidad; no valoración independiente.</w:t>
            </w:r>
          </w:p>
        </w:tc>
      </w:tr>
      <w:tr>
        <w:tc>
          <w:tcPr>
            <w:tcW w:type="dxa" w:w="172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Tax Lease Leyton</w:t>
            </w:r>
          </w:p>
        </w:tc>
        <w:tc>
          <w:tcPr>
            <w:tcW w:type="dxa" w:w="180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2.022.296,00 €</w:t>
            </w:r>
          </w:p>
        </w:tc>
        <w:tc>
          <w:tcPr>
            <w:tcW w:type="dxa" w:w="338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Desarrollo integral de placas modulares inteligentes</w:t>
            </w:r>
          </w:p>
        </w:tc>
        <w:tc>
          <w:tcPr>
            <w:tcW w:type="dxa" w:w="288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Presupuesto técnico; no ingreso supuesto.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Tax Lease Arcano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5.724.400,00 €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Proyecto CEREBRO por fases y cadena industrial completa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Orden de magnitud de reproducción; no equity value.</w:t>
            </w:r>
          </w:p>
        </w:tc>
      </w:tr>
      <w:tr>
        <w:tc>
          <w:tcPr>
            <w:tcW w:type="dxa" w:w="172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CEREBRO por fases</w:t>
            </w:r>
          </w:p>
        </w:tc>
        <w:tc>
          <w:tcPr>
            <w:tcW w:type="dxa" w:w="180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6.408.402,00 €</w:t>
            </w:r>
          </w:p>
        </w:tc>
        <w:tc>
          <w:tcPr>
            <w:tcW w:type="dxa" w:w="338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Sistema ciberfísico, fábrica, almacén, transporte, montaje, vida y comunidad</w:t>
            </w:r>
          </w:p>
        </w:tc>
        <w:tc>
          <w:tcPr>
            <w:tcW w:type="dxa" w:w="288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Mapa de alcance superado por la productización actual.</w:t>
            </w:r>
          </w:p>
        </w:tc>
      </w:tr>
    </w:tbl>
    <w:p/>
    <w:p>
      <w:pPr>
        <w:spacing w:line="271" w:lineRule="auto" w:after="120"/>
      </w:pPr>
      <w:r>
        <w:rPr>
          <w:rFonts w:ascii="Arial" w:hAnsi="Arial"/>
          <w:color w:val="26323F"/>
          <w:sz w:val="20"/>
        </w:rPr>
        <w:t>La lectura prudente es potente: la inversión de referencia queda por debajo de varios presupuestos técnicos externos que validan complejidad y alcance. Aun así, esos presupuestos se usan como triangulación de reproducción y no como valor de mercado ni como caja efectivamente recibida.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37071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v10_puente_inversion_producto_ingres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707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67085"/>
          <w:sz w:val="17"/>
        </w:rPr>
        <w:t>Figura 3. Puente entre inversión acumulada, activo actual y motores de monetización.</w:t>
      </w:r>
    </w:p>
    <w:p>
      <w:pPr>
        <w:pStyle w:val="Heading1"/>
      </w:pPr>
      <w:r>
        <w:rPr>
          <w:rFonts w:ascii="Arial" w:hAnsi="Arial"/>
          <w:color w:val="0B1F33"/>
        </w:rPr>
        <w:t>5. Producto: arquitectura CUEVA OS</w:t>
      </w:r>
    </w:p>
    <w:p>
      <w:pPr>
        <w:spacing w:line="271" w:lineRule="auto" w:after="120"/>
      </w:pPr>
      <w:r>
        <w:rPr>
          <w:rFonts w:ascii="Arial" w:hAnsi="Arial"/>
          <w:color w:val="26323F"/>
          <w:sz w:val="20"/>
        </w:rPr>
        <w:t>El producto se construye por capas. Cada capa tiene función técnica, pagador potencial, trigger económico y evidencia de entrega. Esa modularidad permite entrar por P0/P1/P3 sin exigir al cliente adoptar todo el sistema desde el primer día.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37071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product_portfoli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707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67085"/>
          <w:sz w:val="17"/>
        </w:rPr>
        <w:t>Figura 4. Portfolio de producto sobre un núcleo común de Asset 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88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Capa</w:t>
            </w:r>
          </w:p>
        </w:tc>
        <w:tc>
          <w:tcPr>
            <w:tcW w:type="dxa" w:w="4536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Función</w:t>
            </w:r>
          </w:p>
        </w:tc>
        <w:tc>
          <w:tcPr>
            <w:tcW w:type="dxa" w:w="2880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Monetización</w:t>
            </w:r>
          </w:p>
        </w:tc>
      </w:tr>
      <w:tr>
        <w:tc>
          <w:tcPr>
            <w:tcW w:type="dxa" w:w="208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Identity Layer</w:t>
            </w:r>
          </w:p>
        </w:tc>
        <w:tc>
          <w:tcPr>
            <w:tcW w:type="dxa" w:w="4536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Asset ID, UID/chip por pieza, relación pieza-lote-proyecto-stock</w:t>
            </w:r>
          </w:p>
        </w:tc>
        <w:tc>
          <w:tcPr>
            <w:tcW w:type="dxa" w:w="288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Physical Enablement, Asset Activation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Evidence Layer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POI, fotos, firmas, estados, recepción, no conformidades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POI Evidence Pack, Site Proof</w:t>
            </w:r>
          </w:p>
        </w:tc>
      </w:tr>
      <w:tr>
        <w:tc>
          <w:tcPr>
            <w:tcW w:type="dxa" w:w="208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Documentation Layer</w:t>
            </w:r>
          </w:p>
        </w:tc>
        <w:tc>
          <w:tcPr>
            <w:tcW w:type="dxa" w:w="4536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DPP, Carpeta Madre, certificados, garantías y dossier vivo</w:t>
            </w:r>
          </w:p>
        </w:tc>
        <w:tc>
          <w:tcPr>
            <w:tcW w:type="dxa" w:w="288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DPP setup + módulos compliance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Workflow Layer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Factory OS, Site OS, Warehouse OS, Project Room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Paquetes P0-P5, licencias partner</w:t>
            </w:r>
          </w:p>
        </w:tc>
      </w:tr>
      <w:tr>
        <w:tc>
          <w:tcPr>
            <w:tcW w:type="dxa" w:w="208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Operating Layer</w:t>
            </w:r>
          </w:p>
        </w:tc>
        <w:tc>
          <w:tcPr>
            <w:tcW w:type="dxa" w:w="4536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Mantenimiento, incidencias, garantías, SLA y reposiciones</w:t>
            </w:r>
          </w:p>
        </w:tc>
        <w:tc>
          <w:tcPr>
            <w:tcW w:type="dxa" w:w="288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Network Maintenance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Data Layer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APIs, reporting, permisos, ESG, circularidad y datos de riesgo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Data Layers, contratos enterprise</w:t>
            </w:r>
          </w:p>
        </w:tc>
      </w:tr>
      <w:tr>
        <w:tc>
          <w:tcPr>
            <w:tcW w:type="dxa" w:w="208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Intelligence / AI</w:t>
            </w:r>
          </w:p>
        </w:tc>
        <w:tc>
          <w:tcPr>
            <w:tcW w:type="dxa" w:w="4536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Designer generativo, ingeniero virtual, GIS, agentes y alertas</w:t>
            </w:r>
          </w:p>
        </w:tc>
        <w:tc>
          <w:tcPr>
            <w:tcW w:type="dxa" w:w="288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Módulos premium y productividad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B1F33"/>
        </w:rPr>
        <w:t>5.1. Paquetes P0-P5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232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Paquete</w:t>
            </w:r>
          </w:p>
        </w:tc>
        <w:tc>
          <w:tcPr>
            <w:tcW w:type="dxa" w:w="4320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Descriptiva técnica</w:t>
            </w:r>
          </w:p>
        </w:tc>
        <w:tc>
          <w:tcPr>
            <w:tcW w:type="dxa" w:w="3024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Entregable / gate</w:t>
            </w:r>
          </w:p>
        </w:tc>
      </w:tr>
      <w:tr>
        <w:tc>
          <w:tcPr>
            <w:tcW w:type="dxa" w:w="2232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P0 Discovery &amp; Blueprint</w:t>
            </w:r>
          </w:p>
        </w:tc>
        <w:tc>
          <w:tcPr>
            <w:tcW w:type="dxa" w:w="432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Diagnóstico de proceso, actores, datos, planta/proyecto, baseline y business case.</w:t>
            </w:r>
          </w:p>
        </w:tc>
        <w:tc>
          <w:tcPr>
            <w:tcW w:type="dxa" w:w="302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Mapa de flujo, ROI, backlog, pricing y gate de piloto.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P1 Factory Core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Digitalización de fabricación, Asset ID, comandas, QA, estados y liberación.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Planta con trazabilidad base y m² fabricado verificable.</w:t>
            </w:r>
          </w:p>
        </w:tc>
      </w:tr>
      <w:tr>
        <w:tc>
          <w:tcPr>
            <w:tcW w:type="dxa" w:w="2232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P2 Warehouse &amp; Logistics</w:t>
            </w:r>
          </w:p>
        </w:tc>
        <w:tc>
          <w:tcPr>
            <w:tcW w:type="dxa" w:w="432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Stock, calles/plazas, packing, rutas, expedición, recepción y continuidad lote-proyecto.</w:t>
            </w:r>
          </w:p>
        </w:tc>
        <w:tc>
          <w:tcPr>
            <w:tcW w:type="dxa" w:w="302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Cadena física reconciliada hasta obra.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P3 Site Proof / POI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Recepción, montaje, cuadrillas, reglas de cierre, evidencia y no conformidades.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Prueba física de instalación auditable.</w:t>
            </w:r>
          </w:p>
        </w:tc>
      </w:tr>
      <w:tr>
        <w:tc>
          <w:tcPr>
            <w:tcW w:type="dxa" w:w="2232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P4 DPP / Carpeta Madre</w:t>
            </w:r>
          </w:p>
        </w:tc>
        <w:tc>
          <w:tcPr>
            <w:tcW w:type="dxa" w:w="432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Documentación viva del activo, certificados, garantías, mantenimiento y cambios.</w:t>
            </w:r>
          </w:p>
        </w:tc>
        <w:tc>
          <w:tcPr>
            <w:tcW w:type="dxa" w:w="302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Entrega documental estructurada por activo.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P5 Data / Risk / Market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Reporting, permisos, ESG, circularidad, marketplace, APIs y servicios de riesgo.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Recurrencia sobre stock vivo y datos reutilizables.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0B1F33"/>
        </w:rPr>
        <w:t>6. Líneas de producto y verticales</w:t>
      </w:r>
    </w:p>
    <w:p>
      <w:pPr>
        <w:spacing w:line="271" w:lineRule="auto" w:after="120"/>
      </w:pPr>
      <w:r>
        <w:rPr>
          <w:rFonts w:ascii="Arial" w:hAnsi="Arial"/>
          <w:color w:val="26323F"/>
          <w:sz w:val="20"/>
        </w:rPr>
        <w:t>CUEVA Total no es una línea única. Es un conjunto de productos y verticales que comparten identidad, evidencia y datos. La ventaja competitiva está en que cada nueva vertical reutiliza el núcleo y añade vocabulario comercial específico.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944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Línea</w:t>
            </w:r>
          </w:p>
        </w:tc>
        <w:tc>
          <w:tcPr>
            <w:tcW w:type="dxa" w:w="3312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Qué vende</w:t>
            </w:r>
          </w:p>
        </w:tc>
        <w:tc>
          <w:tcPr>
            <w:tcW w:type="dxa" w:w="2232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Cliente / pagador</w:t>
            </w:r>
          </w:p>
        </w:tc>
        <w:tc>
          <w:tcPr>
            <w:tcW w:type="dxa" w:w="1944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Métrica</w:t>
            </w:r>
          </w:p>
        </w:tc>
      </w:tr>
      <w:tr>
        <w:tc>
          <w:tcPr>
            <w:tcW w:type="dxa" w:w="194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Factory / Partner Enablement</w:t>
            </w:r>
          </w:p>
        </w:tc>
        <w:tc>
          <w:tcPr>
            <w:tcW w:type="dxa" w:w="3312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Digitalización de planta, procesos, Asset ID, QA y liberación.</w:t>
            </w:r>
          </w:p>
        </w:tc>
        <w:tc>
          <w:tcPr>
            <w:tcW w:type="dxa" w:w="2232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Fabricante / licenciatario</w:t>
            </w:r>
          </w:p>
        </w:tc>
        <w:tc>
          <w:tcPr>
            <w:tcW w:type="dxa" w:w="194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m² de planta, setup, capacidad activada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Crew / Site Enablement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Digitalización de cuadrillas, recepción, montaje y prueba de avance.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Montador / integrador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cuadrillas, m² instalados, POI</w:t>
            </w:r>
          </w:p>
        </w:tc>
      </w:tr>
      <w:tr>
        <w:tc>
          <w:tcPr>
            <w:tcW w:type="dxa" w:w="194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POI Evidence Pack</w:t>
            </w:r>
          </w:p>
        </w:tc>
        <w:tc>
          <w:tcPr>
            <w:tcW w:type="dxa" w:w="3312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Prueba física de instalación con identidad, responsable, regla y aceptación.</w:t>
            </w:r>
          </w:p>
        </w:tc>
        <w:tc>
          <w:tcPr>
            <w:tcW w:type="dxa" w:w="2232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Promotor, AAPP, owner, certificador</w:t>
            </w:r>
          </w:p>
        </w:tc>
        <w:tc>
          <w:tcPr>
            <w:tcW w:type="dxa" w:w="194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m² verificados, eventos cerrados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DPP / Carpeta Madre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Pasaporte vivo con documentos, composición, cambios, garantías y mantenimiento.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Owner / sujeto obligado / operador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activo entregado, módulos de compliance</w:t>
            </w:r>
          </w:p>
        </w:tc>
      </w:tr>
      <w:tr>
        <w:tc>
          <w:tcPr>
            <w:tcW w:type="dxa" w:w="194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Designer + vivienda generativa</w:t>
            </w:r>
          </w:p>
        </w:tc>
        <w:tc>
          <w:tcPr>
            <w:tcW w:type="dxa" w:w="3312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Diseño, alternativas paramétricas, reglas y generación automatizada vía API.</w:t>
            </w:r>
          </w:p>
        </w:tc>
        <w:tc>
          <w:tcPr>
            <w:tcW w:type="dxa" w:w="2232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Arquitecto, promotor, partner</w:t>
            </w:r>
          </w:p>
        </w:tc>
        <w:tc>
          <w:tcPr>
            <w:tcW w:type="dxa" w:w="194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proyectos, m² diseñados, módulos premium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iPath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Infraestructura urbana industrializada con POI, DPP, mantenimiento y SLA.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AAPP, concesión, SPV, operador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tramos, disponibilidad, mantenimiento, datos</w:t>
            </w:r>
          </w:p>
        </w:tc>
      </w:tr>
      <w:tr>
        <w:tc>
          <w:tcPr>
            <w:tcW w:type="dxa" w:w="194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Moolde / circularidad</w:t>
            </w:r>
          </w:p>
        </w:tc>
        <w:tc>
          <w:tcPr>
            <w:tcW w:type="dxa" w:w="3312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Pilotos y activos de economía circular, materiales y ciclo de vida.</w:t>
            </w:r>
          </w:p>
        </w:tc>
        <w:tc>
          <w:tcPr>
            <w:tcW w:type="dxa" w:w="2232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Industria circular, marcas, administraciones</w:t>
            </w:r>
          </w:p>
        </w:tc>
        <w:tc>
          <w:tcPr>
            <w:tcW w:type="dxa" w:w="194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materiales, pilotos, reporte ESG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Market OS / Data / Finance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Canal, marketplace, APIs, riesgo, datos y servicios sobre stock vivo.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Partners, bancos, aseguradoras, owners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stock vivo, contratos enterprise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0B1F33"/>
        </w:rPr>
        <w:t>7. Modelo de negocio CUEVA Total</w:t>
      </w:r>
    </w:p>
    <w:p>
      <w:pPr>
        <w:spacing w:line="271" w:lineRule="auto" w:after="120"/>
      </w:pPr>
      <w:r>
        <w:rPr>
          <w:rFonts w:ascii="Arial" w:hAnsi="Arial"/>
          <w:color w:val="26323F"/>
          <w:sz w:val="20"/>
        </w:rPr>
        <w:t>CUEVA monetiza cinco momentos acumulativos: digitalización inicial, uso de red por m², activación de activo/proyecto, evidencia/documentación y servicios recurrentes sobre stock vivo. Cada cobro debe tener pagador, alcance, trigger, evidencia y política de reconocimiento propios.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232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Línea de ingreso</w:t>
            </w:r>
          </w:p>
        </w:tc>
        <w:tc>
          <w:tcPr>
            <w:tcW w:type="dxa" w:w="2232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Pagador</w:t>
            </w:r>
          </w:p>
        </w:tc>
        <w:tc>
          <w:tcPr>
            <w:tcW w:type="dxa" w:w="2880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Trigger</w:t>
            </w:r>
          </w:p>
        </w:tc>
        <w:tc>
          <w:tcPr>
            <w:tcW w:type="dxa" w:w="2088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Calidad</w:t>
            </w:r>
          </w:p>
        </w:tc>
      </w:tr>
      <w:tr>
        <w:tc>
          <w:tcPr>
            <w:tcW w:type="dxa" w:w="2232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Licencia partner / connector</w:t>
            </w:r>
          </w:p>
        </w:tc>
        <w:tc>
          <w:tcPr>
            <w:tcW w:type="dxa" w:w="2232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Fabricante, montador, operador</w:t>
            </w:r>
          </w:p>
        </w:tc>
        <w:tc>
          <w:tcPr>
            <w:tcW w:type="dxa" w:w="288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Acceso anual, certificación, capacidad</w:t>
            </w:r>
          </w:p>
        </w:tc>
        <w:tc>
          <w:tcPr>
            <w:tcW w:type="dxa" w:w="208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Recurrente / mínimo anual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Implementation P0-P5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Partner, promotor, AAPP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Contrato de implantación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Servicios con margen</w:t>
            </w:r>
          </w:p>
        </w:tc>
      </w:tr>
      <w:tr>
        <w:tc>
          <w:tcPr>
            <w:tcW w:type="dxa" w:w="2232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Physical Enablement</w:t>
            </w:r>
          </w:p>
        </w:tc>
        <w:tc>
          <w:tcPr>
            <w:tcW w:type="dxa" w:w="2232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Presupuesto de proyecto / integrador</w:t>
            </w:r>
          </w:p>
        </w:tc>
        <w:tc>
          <w:tcPr>
            <w:tcW w:type="dxa" w:w="288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m² emitido con alta técnica</w:t>
            </w:r>
          </w:p>
        </w:tc>
        <w:tc>
          <w:tcPr>
            <w:tcW w:type="dxa" w:w="208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One-shot por m²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Asset Activation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Cliente / proyecto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Proyecto entra en ejecución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One-shot por m²</w:t>
            </w:r>
          </w:p>
        </w:tc>
      </w:tr>
      <w:tr>
        <w:tc>
          <w:tcPr>
            <w:tcW w:type="dxa" w:w="2232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POI Evidence Pack</w:t>
            </w:r>
          </w:p>
        </w:tc>
        <w:tc>
          <w:tcPr>
            <w:tcW w:type="dxa" w:w="2232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Cliente, promotor, AAPP</w:t>
            </w:r>
          </w:p>
        </w:tc>
        <w:tc>
          <w:tcPr>
            <w:tcW w:type="dxa" w:w="288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Instalación verificada</w:t>
            </w:r>
          </w:p>
        </w:tc>
        <w:tc>
          <w:tcPr>
            <w:tcW w:type="dxa" w:w="208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One-shot / evento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DPP / Carpeta Madre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Propietario / sujeto regulado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Entrega documental viva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Setup + módulos</w:t>
            </w:r>
          </w:p>
        </w:tc>
      </w:tr>
      <w:tr>
        <w:tc>
          <w:tcPr>
            <w:tcW w:type="dxa" w:w="2232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Network Maintenance</w:t>
            </w:r>
          </w:p>
        </w:tc>
        <w:tc>
          <w:tcPr>
            <w:tcW w:type="dxa" w:w="2232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Owner / operador</w:t>
            </w:r>
          </w:p>
        </w:tc>
        <w:tc>
          <w:tcPr>
            <w:tcW w:type="dxa" w:w="288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Stock vivo activo</w:t>
            </w:r>
          </w:p>
        </w:tc>
        <w:tc>
          <w:tcPr>
            <w:tcW w:type="dxa" w:w="208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Recurrente sobre stock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Data Layers / API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Banco, seguro, certificadora, owner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Módulos de datos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Recurrente / enterprise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B1F33"/>
        </w:rPr>
        <w:t>7.1. Pricing y unit economics de partner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088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Tarifa</w:t>
            </w:r>
          </w:p>
        </w:tc>
        <w:tc>
          <w:tcPr>
            <w:tcW w:type="dxa" w:w="2952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Alcance</w:t>
            </w:r>
          </w:p>
        </w:tc>
        <w:tc>
          <w:tcPr>
            <w:tcW w:type="dxa" w:w="1512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Precio</w:t>
            </w:r>
          </w:p>
        </w:tc>
        <w:tc>
          <w:tcPr>
            <w:tcW w:type="dxa" w:w="3168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Regla comercial</w:t>
            </w:r>
          </w:p>
        </w:tc>
      </w:tr>
      <w:tr>
        <w:tc>
          <w:tcPr>
            <w:tcW w:type="dxa" w:w="208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Factory Small</w:t>
            </w:r>
          </w:p>
        </w:tc>
        <w:tc>
          <w:tcPr>
            <w:tcW w:type="dxa" w:w="2952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Hasta 5.000 m²</w:t>
            </w:r>
          </w:p>
        </w:tc>
        <w:tc>
          <w:tcPr>
            <w:tcW w:type="dxa" w:w="1512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50.000 €</w:t>
            </w:r>
          </w:p>
        </w:tc>
        <w:tc>
          <w:tcPr>
            <w:tcW w:type="dxa" w:w="316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Paquete cerrado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Factory Growth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&gt;5.000 y &lt;20.000 m²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120.000 €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Paquete cerrado</w:t>
            </w:r>
          </w:p>
        </w:tc>
      </w:tr>
      <w:tr>
        <w:tc>
          <w:tcPr>
            <w:tcW w:type="dxa" w:w="208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Factory Scale</w:t>
            </w:r>
          </w:p>
        </w:tc>
        <w:tc>
          <w:tcPr>
            <w:tcW w:type="dxa" w:w="2952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20.000 y &lt;50.000 m²</w:t>
            </w:r>
          </w:p>
        </w:tc>
        <w:tc>
          <w:tcPr>
            <w:tcW w:type="dxa" w:w="1512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250.000 €</w:t>
            </w:r>
          </w:p>
        </w:tc>
        <w:tc>
          <w:tcPr>
            <w:tcW w:type="dxa" w:w="316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Paquete cerrado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Factory Enterprise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Desde 50.000 m²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400.000 €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Desde 400k; alcance por consultoría</w:t>
            </w:r>
          </w:p>
        </w:tc>
      </w:tr>
      <w:tr>
        <w:tc>
          <w:tcPr>
            <w:tcW w:type="dxa" w:w="208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Crew Starter</w:t>
            </w:r>
          </w:p>
        </w:tc>
        <w:tc>
          <w:tcPr>
            <w:tcW w:type="dxa" w:w="2952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Hasta 2 cuadrillas de 4 operarios</w:t>
            </w:r>
          </w:p>
        </w:tc>
        <w:tc>
          <w:tcPr>
            <w:tcW w:type="dxa" w:w="1512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35.000 €</w:t>
            </w:r>
          </w:p>
        </w:tc>
        <w:tc>
          <w:tcPr>
            <w:tcW w:type="dxa" w:w="316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Paquete cerrado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Crew Scale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3 a 6 cuadrillas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75.000 €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Paquete cerrado</w:t>
            </w:r>
          </w:p>
        </w:tc>
      </w:tr>
      <w:tr>
        <w:tc>
          <w:tcPr>
            <w:tcW w:type="dxa" w:w="208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Crew Enterprise</w:t>
            </w:r>
          </w:p>
        </w:tc>
        <w:tc>
          <w:tcPr>
            <w:tcW w:type="dxa" w:w="2952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Más de 6 cuadrillas</w:t>
            </w:r>
          </w:p>
        </w:tc>
        <w:tc>
          <w:tcPr>
            <w:tcW w:type="dxa" w:w="1512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12.000 €</w:t>
            </w:r>
          </w:p>
        </w:tc>
        <w:tc>
          <w:tcPr>
            <w:tcW w:type="dxa" w:w="316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12k por cuadrilla; mínimo 75k</w:t>
            </w:r>
          </w:p>
        </w:tc>
      </w:tr>
    </w:tbl>
    <w:p/>
    <w:p>
      <w:pPr>
        <w:spacing w:line="271" w:lineRule="auto" w:after="120"/>
      </w:pPr>
      <w:r>
        <w:rPr>
          <w:rFonts w:ascii="Arial" w:hAnsi="Arial"/>
          <w:color w:val="26323F"/>
          <w:sz w:val="20"/>
        </w:rPr>
        <w:t>El modelo separa Fee de Red Fabricante (2.50 €/m²) y Fee de Red Montaje (2.50 €/m²). El fee combinado de referencia es 5.00 €/m² cuando aplican ambos triggers. No se presenta como royalty: son servicios de red asociados a fabricación e instalación verificadas.</w:t>
      </w:r>
    </w:p>
    <w:p>
      <w:pPr>
        <w:pStyle w:val="Heading1"/>
      </w:pPr>
      <w:r>
        <w:rPr>
          <w:rFonts w:ascii="Arial" w:hAnsi="Arial"/>
          <w:color w:val="0B1F33"/>
        </w:rPr>
        <w:t>8. Plan 300K: objetivo, uso de fondos y gates</w:t>
      </w:r>
    </w:p>
    <w:p>
      <w:pPr>
        <w:spacing w:line="271" w:lineRule="auto" w:after="120"/>
      </w:pPr>
      <w:r>
        <w:rPr>
          <w:rFonts w:ascii="Arial" w:hAnsi="Arial"/>
          <w:color w:val="26323F"/>
          <w:sz w:val="20"/>
        </w:rPr>
        <w:t>El plan 300K es el carril obligatorio. No financia toda la ambición 2030: estabiliza compañía, producto, equipo, salidas comerciales, hub, carpeta documental y primeros contratos. La disciplina es liberar fondos por entregables, no por etiquetas presupuestarias.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37071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use_funds_300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707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67085"/>
          <w:sz w:val="17"/>
        </w:rPr>
        <w:t>Figura 5. Uso de fondos del tramo 300K según modelo V8 validado.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304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Bloque</w:t>
            </w:r>
          </w:p>
        </w:tc>
        <w:tc>
          <w:tcPr>
            <w:tcW w:type="dxa" w:w="1224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Importe</w:t>
            </w:r>
          </w:p>
        </w:tc>
        <w:tc>
          <w:tcPr>
            <w:tcW w:type="dxa" w:w="648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%</w:t>
            </w:r>
          </w:p>
        </w:tc>
        <w:tc>
          <w:tcPr>
            <w:tcW w:type="dxa" w:w="3168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Objetivo</w:t>
            </w:r>
          </w:p>
        </w:tc>
        <w:tc>
          <w:tcPr>
            <w:tcW w:type="dxa" w:w="2160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Gate</w:t>
            </w:r>
          </w:p>
        </w:tc>
      </w:tr>
      <w:tr>
        <w:tc>
          <w:tcPr>
            <w:tcW w:type="dxa" w:w="230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Equipo base julio-diciembre 2026</w:t>
            </w:r>
          </w:p>
        </w:tc>
        <w:tc>
          <w:tcPr>
            <w:tcW w:type="dxa" w:w="122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114.600 €</w:t>
            </w:r>
          </w:p>
        </w:tc>
        <w:tc>
          <w:tcPr>
            <w:tcW w:type="dxa" w:w="64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38,2%</w:t>
            </w:r>
          </w:p>
        </w:tc>
        <w:tc>
          <w:tcPr>
            <w:tcW w:type="dxa" w:w="316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Continuidad directiva, producto, operaciones y comercial</w:t>
            </w:r>
          </w:p>
        </w:tc>
        <w:tc>
          <w:tcPr>
            <w:tcW w:type="dxa" w:w="216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Calendario mensual y roles definidos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Seguridad Social / cumplimiento laboral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18.000 €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6,0%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Provisiones laborales y regularización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Contrataciones formalizadas</w:t>
            </w:r>
          </w:p>
        </w:tc>
      </w:tr>
      <w:tr>
        <w:tc>
          <w:tcPr>
            <w:tcW w:type="dxa" w:w="230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Software / IT / telecom / IA</w:t>
            </w:r>
          </w:p>
        </w:tc>
        <w:tc>
          <w:tcPr>
            <w:tcW w:type="dxa" w:w="122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78.000 €</w:t>
            </w:r>
          </w:p>
        </w:tc>
        <w:tc>
          <w:tcPr>
            <w:tcW w:type="dxa" w:w="64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26,0%</w:t>
            </w:r>
          </w:p>
        </w:tc>
        <w:tc>
          <w:tcPr>
            <w:tcW w:type="dxa" w:w="316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CUEVA OS, DPP/POI, cloud, seguridad, demos y campo</w:t>
            </w:r>
          </w:p>
        </w:tc>
        <w:tc>
          <w:tcPr>
            <w:tcW w:type="dxa" w:w="216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Activación por hitos y necesidad de proyecto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Marketing y comunicación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18.000 €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6,0%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Web, deck, casos, CRM y lanzamiento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Producto demo estable</w:t>
            </w:r>
          </w:p>
        </w:tc>
      </w:tr>
      <w:tr>
        <w:tc>
          <w:tcPr>
            <w:tcW w:type="dxa" w:w="2304"/>
            <w:vAlign w:val="center"/>
            <w:shd w:fill="F7F9FB"/>
          </w:tcPr>
          <w:p>
            <w:r>
              <w:t>Hub Valeriano</w:t>
            </w:r>
          </w:p>
        </w:tc>
        <w:tc>
          <w:tcPr>
            <w:tcW w:type="dxa" w:w="1224"/>
            <w:vAlign w:val="center"/>
            <w:shd w:fill="F7F9FB"/>
          </w:tcPr>
          <w:p>
            <w:r>
              <w:t>66.400 €</w:t>
            </w:r>
          </w:p>
        </w:tc>
        <w:tc>
          <w:tcPr>
            <w:tcW w:type="dxa" w:w="648"/>
            <w:vAlign w:val="center"/>
            <w:shd w:fill="F7F9FB"/>
          </w:tcPr>
          <w:p>
            <w:r>
              <w:t>22,1%</w:t>
            </w:r>
          </w:p>
        </w:tc>
        <w:tc>
          <w:tcPr>
            <w:tcW w:type="dxa" w:w="3168"/>
            <w:vAlign w:val="center"/>
            <w:shd w:fill="F7F9FB"/>
          </w:tcPr>
          <w:p>
            <w:r>
              <w:t>Hub Valeriano, showroom y nodo operativo Menorca</w:t>
            </w:r>
          </w:p>
        </w:tc>
        <w:tc>
          <w:tcPr>
            <w:tcW w:type="dxa" w:w="2160"/>
            <w:vAlign w:val="center"/>
            <w:shd w:fill="F7F9FB"/>
          </w:tcPr>
          <w:p>
            <w:r>
              <w:t>Acuerdo Valeriano y layout definido</w:t>
            </w:r>
          </w:p>
        </w:tc>
      </w:tr>
      <w:tr>
        <w:tc>
          <w:tcPr>
            <w:tcW w:type="dxa" w:w="230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Legal, auditoría, documentación y contingencia</w:t>
            </w:r>
          </w:p>
        </w:tc>
        <w:tc>
          <w:tcPr>
            <w:tcW w:type="dxa" w:w="122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5.000 €</w:t>
            </w:r>
          </w:p>
        </w:tc>
        <w:tc>
          <w:tcPr>
            <w:tcW w:type="dxa" w:w="64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1,7%</w:t>
            </w:r>
          </w:p>
        </w:tc>
        <w:tc>
          <w:tcPr>
            <w:tcW w:type="dxa" w:w="316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Blindaje documental y carpeta documental</w:t>
            </w:r>
          </w:p>
        </w:tc>
        <w:tc>
          <w:tcPr>
            <w:tcW w:type="dxa" w:w="216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Checklist audit-ready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0B1F33"/>
        </w:rPr>
        <w:t>9. Plan 2027 y go-to-market</w:t>
      </w:r>
    </w:p>
    <w:p>
      <w:pPr>
        <w:spacing w:line="271" w:lineRule="auto" w:after="120"/>
      </w:pPr>
      <w:r>
        <w:rPr>
          <w:rFonts w:ascii="Arial" w:hAnsi="Arial"/>
          <w:color w:val="26323F"/>
          <w:sz w:val="20"/>
        </w:rPr>
        <w:t>El pipeline 2027 se reconstruye con criterio v10: un único KIWA/RMOOB de 400k, pricing de digitalización por tier real de planta, digitalización de montaje, fees de red por m² fabricados/instalados y separación entre management case y lectura ponderada.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370713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ipeline_202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707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67085"/>
          <w:sz w:val="17"/>
        </w:rPr>
        <w:t>Figura 6. Pipeline 2027 base y ponderado por línea.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2448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Proyecto / línea</w:t>
            </w:r>
          </w:p>
        </w:tc>
        <w:tc>
          <w:tcPr>
            <w:tcW w:type="dxa" w:w="1224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Base 2027</w:t>
            </w:r>
          </w:p>
        </w:tc>
        <w:tc>
          <w:tcPr>
            <w:tcW w:type="dxa" w:w="648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Prob.</w:t>
            </w:r>
          </w:p>
        </w:tc>
        <w:tc>
          <w:tcPr>
            <w:tcW w:type="dxa" w:w="1224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Ponderado</w:t>
            </w:r>
          </w:p>
        </w:tc>
        <w:tc>
          <w:tcPr>
            <w:tcW w:type="dxa" w:w="648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GM</w:t>
            </w:r>
          </w:p>
        </w:tc>
        <w:tc>
          <w:tcPr>
            <w:tcW w:type="dxa" w:w="2592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Gate</w:t>
            </w:r>
          </w:p>
        </w:tc>
        <w:tc>
          <w:tcPr>
            <w:tcW w:type="dxa" w:w="2016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Decisión si falla</w:t>
            </w:r>
          </w:p>
        </w:tc>
      </w:tr>
      <w:tr>
        <w:tc>
          <w:tcPr>
            <w:tcW w:type="dxa" w:w="244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Llar de Mar 2</w:t>
            </w:r>
          </w:p>
        </w:tc>
        <w:tc>
          <w:tcPr>
            <w:tcW w:type="dxa" w:w="122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535.000 €</w:t>
            </w:r>
          </w:p>
        </w:tc>
        <w:tc>
          <w:tcPr>
            <w:tcW w:type="dxa" w:w="64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80%</w:t>
            </w:r>
          </w:p>
        </w:tc>
        <w:tc>
          <w:tcPr>
            <w:tcW w:type="dxa" w:w="122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428.000 €</w:t>
            </w:r>
          </w:p>
        </w:tc>
        <w:tc>
          <w:tcPr>
            <w:tcW w:type="dxa" w:w="64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25%</w:t>
            </w:r>
          </w:p>
        </w:tc>
        <w:tc>
          <w:tcPr>
            <w:tcW w:type="dxa" w:w="2592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Contrato + anticipo</w:t>
            </w:r>
          </w:p>
        </w:tc>
        <w:tc>
          <w:tcPr>
            <w:tcW w:type="dxa" w:w="2016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No activar coste sin anticipo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Digitalización fabricante partner piloto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250.000 €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70%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175.000 €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58%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m² planta validados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Reclasificar tier o fasear</w:t>
            </w:r>
          </w:p>
        </w:tc>
      </w:tr>
      <w:tr>
        <w:tc>
          <w:tcPr>
            <w:tcW w:type="dxa" w:w="244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Digitalización equipo de montaje</w:t>
            </w:r>
          </w:p>
        </w:tc>
        <w:tc>
          <w:tcPr>
            <w:tcW w:type="dxa" w:w="122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35.000 €</w:t>
            </w:r>
          </w:p>
        </w:tc>
        <w:tc>
          <w:tcPr>
            <w:tcW w:type="dxa" w:w="64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70%</w:t>
            </w:r>
          </w:p>
        </w:tc>
        <w:tc>
          <w:tcPr>
            <w:tcW w:type="dxa" w:w="122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24.500 €</w:t>
            </w:r>
          </w:p>
        </w:tc>
        <w:tc>
          <w:tcPr>
            <w:tcW w:type="dxa" w:w="64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62%</w:t>
            </w:r>
          </w:p>
        </w:tc>
        <w:tc>
          <w:tcPr>
            <w:tcW w:type="dxa" w:w="2592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Cuadrillas y operarios validados</w:t>
            </w:r>
          </w:p>
        </w:tc>
        <w:tc>
          <w:tcPr>
            <w:tcW w:type="dxa" w:w="2016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Reducir a Crew Starter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Fee de Red Fabricante - 52.000 m²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130.000 €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70%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91.000 €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86%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m² fabricados verificados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Facturar solo m² verificados</w:t>
            </w:r>
          </w:p>
        </w:tc>
      </w:tr>
      <w:tr>
        <w:tc>
          <w:tcPr>
            <w:tcW w:type="dxa" w:w="244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Fee de Red Montaje - 52.000 m²</w:t>
            </w:r>
          </w:p>
        </w:tc>
        <w:tc>
          <w:tcPr>
            <w:tcW w:type="dxa" w:w="122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130.000 €</w:t>
            </w:r>
          </w:p>
        </w:tc>
        <w:tc>
          <w:tcPr>
            <w:tcW w:type="dxa" w:w="64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70%</w:t>
            </w:r>
          </w:p>
        </w:tc>
        <w:tc>
          <w:tcPr>
            <w:tcW w:type="dxa" w:w="122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91.000 €</w:t>
            </w:r>
          </w:p>
        </w:tc>
        <w:tc>
          <w:tcPr>
            <w:tcW w:type="dxa" w:w="64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84%</w:t>
            </w:r>
          </w:p>
        </w:tc>
        <w:tc>
          <w:tcPr>
            <w:tcW w:type="dxa" w:w="2592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m² instalados verificados</w:t>
            </w:r>
          </w:p>
        </w:tc>
        <w:tc>
          <w:tcPr>
            <w:tcW w:type="dxa" w:w="2016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Facturar solo m² verificados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KIWA/RMOOB - proyecto único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400.000 €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50%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200.000 €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55%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Contrato + alcance + hitos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No reconocer sin firma</w:t>
            </w:r>
          </w:p>
        </w:tc>
      </w:tr>
      <w:tr>
        <w:tc>
          <w:tcPr>
            <w:tcW w:type="dxa" w:w="244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Moolde / Plastic People / Calaf</w:t>
            </w:r>
          </w:p>
        </w:tc>
        <w:tc>
          <w:tcPr>
            <w:tcW w:type="dxa" w:w="122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90.000 €</w:t>
            </w:r>
          </w:p>
        </w:tc>
        <w:tc>
          <w:tcPr>
            <w:tcW w:type="dxa" w:w="64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45%</w:t>
            </w:r>
          </w:p>
        </w:tc>
        <w:tc>
          <w:tcPr>
            <w:tcW w:type="dxa" w:w="122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40.500 €</w:t>
            </w:r>
          </w:p>
        </w:tc>
        <w:tc>
          <w:tcPr>
            <w:tcW w:type="dxa" w:w="64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40%</w:t>
            </w:r>
          </w:p>
        </w:tc>
        <w:tc>
          <w:tcPr>
            <w:tcW w:type="dxa" w:w="2592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Cofinanciación + presupuesto</w:t>
            </w:r>
          </w:p>
        </w:tc>
        <w:tc>
          <w:tcPr>
            <w:tcW w:type="dxa" w:w="2016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Evitar piloto gratuito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Marsam / marcas producto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40.000 €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45%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18.000 €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55%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Oferta aceptada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Paquetizar prototipo</w:t>
            </w:r>
          </w:p>
        </w:tc>
      </w:tr>
      <w:tr>
        <w:tc>
          <w:tcPr>
            <w:tcW w:type="dxa" w:w="244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SaaS / POI / DPP recurrente</w:t>
            </w:r>
          </w:p>
        </w:tc>
        <w:tc>
          <w:tcPr>
            <w:tcW w:type="dxa" w:w="122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60.000 €</w:t>
            </w:r>
          </w:p>
        </w:tc>
        <w:tc>
          <w:tcPr>
            <w:tcW w:type="dxa" w:w="64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60%</w:t>
            </w:r>
          </w:p>
        </w:tc>
        <w:tc>
          <w:tcPr>
            <w:tcW w:type="dxa" w:w="122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36.000 €</w:t>
            </w:r>
          </w:p>
        </w:tc>
        <w:tc>
          <w:tcPr>
            <w:tcW w:type="dxa" w:w="64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75%</w:t>
            </w:r>
          </w:p>
        </w:tc>
        <w:tc>
          <w:tcPr>
            <w:tcW w:type="dxa" w:w="2592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Contrato activo + uso</w:t>
            </w:r>
          </w:p>
        </w:tc>
        <w:tc>
          <w:tcPr>
            <w:tcW w:type="dxa" w:w="2016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Reducir alcance a MVP vendible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088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KPI plan 300K</w:t>
            </w:r>
          </w:p>
        </w:tc>
        <w:tc>
          <w:tcPr>
            <w:tcW w:type="dxa" w:w="1872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Management case</w:t>
            </w:r>
          </w:p>
        </w:tc>
        <w:tc>
          <w:tcPr>
            <w:tcW w:type="dxa" w:w="1872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Ponderado</w:t>
            </w:r>
          </w:p>
        </w:tc>
        <w:tc>
          <w:tcPr>
            <w:tcW w:type="dxa" w:w="3744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Lectura</w:t>
            </w:r>
          </w:p>
        </w:tc>
      </w:tr>
      <w:tr>
        <w:tc>
          <w:tcPr>
            <w:tcW w:type="dxa" w:w="208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Ingresos 2027</w:t>
            </w:r>
          </w:p>
        </w:tc>
        <w:tc>
          <w:tcPr>
            <w:tcW w:type="dxa" w:w="1872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1.670.000 €</w:t>
            </w:r>
          </w:p>
        </w:tc>
        <w:tc>
          <w:tcPr>
            <w:tcW w:type="dxa" w:w="1872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1.104.000 €</w:t>
            </w:r>
          </w:p>
        </w:tc>
        <w:tc>
          <w:tcPr>
            <w:tcW w:type="dxa" w:w="374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Pipeline base frente a probabilidad por proyecto.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EBITDA 2027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313.999 €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11.039 €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La lectura ponderada exige disciplina de caja y contratación por gates.</w:t>
            </w:r>
          </w:p>
        </w:tc>
      </w:tr>
      <w:tr>
        <w:tc>
          <w:tcPr>
            <w:tcW w:type="dxa" w:w="208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Caja final 2027</w:t>
            </w:r>
          </w:p>
        </w:tc>
        <w:tc>
          <w:tcPr>
            <w:tcW w:type="dxa" w:w="1872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327.599 €</w:t>
            </w:r>
          </w:p>
        </w:tc>
        <w:tc>
          <w:tcPr>
            <w:tcW w:type="dxa" w:w="1872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24.639 €</w:t>
            </w:r>
          </w:p>
        </w:tc>
        <w:tc>
          <w:tcPr>
            <w:tcW w:type="dxa" w:w="374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El plan preserva caja si los costes se activan contra cobros y contratos.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B1F33"/>
        </w:rPr>
        <w:t>9.1. Secuencia comercial</w:t>
      </w:r>
    </w:p>
    <w:p>
      <w:pPr>
        <w:pStyle w:val="ListBullet"/>
        <w:spacing w:after="60"/>
      </w:pPr>
      <w:r>
        <w:rPr>
          <w:rFonts w:ascii="Arial" w:hAnsi="Arial"/>
          <w:color w:val="26323F"/>
          <w:sz w:val="19"/>
        </w:rPr>
        <w:t>Vender P0/P1/P3 con alcance y gate, no la totalidad del universo CUEVA desde la primera reunión.</w:t>
      </w:r>
    </w:p>
    <w:p>
      <w:pPr>
        <w:pStyle w:val="ListBullet"/>
        <w:spacing w:after="60"/>
      </w:pPr>
      <w:r>
        <w:rPr>
          <w:rFonts w:ascii="Arial" w:hAnsi="Arial"/>
          <w:color w:val="26323F"/>
          <w:sz w:val="19"/>
        </w:rPr>
        <w:t>Convertir cada piloto en evidencia comercial: antes/después, incidencias, tiempo, calidad, recepción y cierre documental.</w:t>
      </w:r>
    </w:p>
    <w:p>
      <w:pPr>
        <w:pStyle w:val="ListBullet"/>
        <w:spacing w:after="60"/>
      </w:pPr>
      <w:r>
        <w:rPr>
          <w:rFonts w:ascii="Arial" w:hAnsi="Arial"/>
          <w:color w:val="26323F"/>
          <w:sz w:val="19"/>
        </w:rPr>
        <w:t>Pasar de piloto a contrato anual con mínimo, y de contrato anual a licenciatario certificado.</w:t>
      </w:r>
    </w:p>
    <w:p>
      <w:pPr>
        <w:pStyle w:val="ListBullet"/>
        <w:spacing w:after="60"/>
      </w:pPr>
      <w:r>
        <w:rPr>
          <w:rFonts w:ascii="Arial" w:hAnsi="Arial"/>
          <w:color w:val="26323F"/>
          <w:sz w:val="19"/>
        </w:rPr>
        <w:t>Activar POI/DPP como condición de pago, garantía, certificación, recepción o mantenimiento.</w:t>
      </w:r>
    </w:p>
    <w:p>
      <w:pPr>
        <w:pStyle w:val="ListBullet"/>
        <w:spacing w:after="60"/>
      </w:pPr>
      <w:r>
        <w:rPr>
          <w:rFonts w:ascii="Arial" w:hAnsi="Arial"/>
          <w:color w:val="26323F"/>
          <w:sz w:val="19"/>
        </w:rPr>
        <w:t>Convertir stock vivo en mantenimiento y datos recurrentes; abrir la capa financiera solo con datos reales.</w:t>
      </w:r>
    </w:p>
    <w:p>
      <w:pPr>
        <w:pStyle w:val="Heading1"/>
      </w:pPr>
      <w:r>
        <w:rPr>
          <w:rFonts w:ascii="Arial" w:hAnsi="Arial"/>
          <w:color w:val="0B1F33"/>
        </w:rPr>
        <w:t>10. Roadmap operativo 2026-2030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370713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road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707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67085"/>
          <w:sz w:val="17"/>
        </w:rPr>
        <w:t>Figura 7. Roadmap doble carril: plan 300K y Scale Case por gates.</w:t>
      </w:r>
    </w:p>
    <w:p>
      <w:pPr>
        <w:spacing w:line="271" w:lineRule="auto" w:after="120"/>
      </w:pPr>
      <w:r>
        <w:rPr>
          <w:rFonts w:ascii="Arial" w:hAnsi="Arial"/>
          <w:color w:val="26323F"/>
          <w:sz w:val="20"/>
        </w:rPr>
        <w:t>La arquitectura del plan evita confundir ejecución mínima con upside. El 300K compra continuidad y reducción de riesgo. El Scale Case se desbloquea con capital adicional, contratos, producto estable, partners activos, control de caja, carpeta documental y capacidad de despliegue.</w:t>
      </w:r>
    </w:p>
    <w:p>
      <w:pPr>
        <w:pStyle w:val="Heading1"/>
      </w:pPr>
      <w:r>
        <w:rPr>
          <w:rFonts w:ascii="Arial" w:hAnsi="Arial"/>
          <w:color w:val="0B1F33"/>
        </w:rPr>
        <w:t>11. Plan CUEVA Total 2030</w:t>
      </w:r>
    </w:p>
    <w:p>
      <w:pPr>
        <w:spacing w:line="271" w:lineRule="auto" w:after="120"/>
      </w:pPr>
      <w:r>
        <w:rPr>
          <w:rFonts w:ascii="Arial" w:hAnsi="Arial"/>
          <w:color w:val="26323F"/>
          <w:sz w:val="20"/>
        </w:rPr>
        <w:t>El Scale Case no prolonga linealmente el plan 300K. Exige más capital, partners, producto, organización, customer success, seguridad, soporte y volumen. En el modelo V8 validado, CUEVA alcanza 23 partners activos en 2030, 2,94M m² emitidos anuales y 6,51M m² de stock vivo.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370713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m2_stock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707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67085"/>
          <w:sz w:val="17"/>
        </w:rPr>
        <w:t>Figura 8. Motor volumétrico: m² emitidos y stock vivo.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370713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evenue_ebitda_203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707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67085"/>
          <w:sz w:val="17"/>
        </w:rPr>
        <w:t>Figura 9. Ingresos y EBITDA 2026-2030 en Scale Case base.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2088"/>
            <w:vAlign w:val="center"/>
            <w:shd w:fill="0B1F33"/>
          </w:tcPr>
          <w:p>
            <w:r>
              <w:t>Concepto</w:t>
            </w:r>
            <w:r>
              <w:rPr>
                <w:rFonts w:ascii="Arial" w:hAnsi="Arial"/>
                <w:b/>
                <w:color w:val="FFFFFF"/>
                <w:sz w:val="15"/>
              </w:rPr>
            </w:r>
          </w:p>
        </w:tc>
        <w:tc>
          <w:tcPr>
            <w:tcW w:type="dxa" w:w="1224"/>
            <w:vAlign w:val="center"/>
            <w:shd w:fill="0B1F33"/>
          </w:tcPr>
          <w:p>
            <w:r>
              <w:t>2026/27</w:t>
            </w:r>
            <w:r>
              <w:rPr>
                <w:rFonts w:ascii="Arial" w:hAnsi="Arial"/>
                <w:b/>
                <w:color w:val="FFFFFF"/>
                <w:sz w:val="15"/>
              </w:rPr>
            </w:r>
          </w:p>
        </w:tc>
        <w:tc>
          <w:tcPr>
            <w:tcW w:type="dxa" w:w="1224"/>
            <w:vAlign w:val="center"/>
            <w:shd w:fill="0B1F33"/>
          </w:tcPr>
          <w:p>
            <w:r>
              <w:t>2028</w:t>
            </w:r>
            <w:r>
              <w:rPr>
                <w:rFonts w:ascii="Arial" w:hAnsi="Arial"/>
                <w:b/>
                <w:color w:val="FFFFFF"/>
                <w:sz w:val="15"/>
              </w:rPr>
            </w:r>
          </w:p>
        </w:tc>
        <w:tc>
          <w:tcPr>
            <w:tcW w:type="dxa" w:w="1224"/>
            <w:vAlign w:val="center"/>
            <w:shd w:fill="0B1F33"/>
          </w:tcPr>
          <w:p>
            <w:r>
              <w:t>2029</w:t>
            </w:r>
            <w:r>
              <w:rPr>
                <w:rFonts w:ascii="Arial" w:hAnsi="Arial"/>
                <w:b/>
                <w:color w:val="FFFFFF"/>
                <w:sz w:val="15"/>
              </w:rPr>
            </w:r>
          </w:p>
        </w:tc>
        <w:tc>
          <w:tcPr>
            <w:tcW w:type="dxa" w:w="1224"/>
            <w:vAlign w:val="center"/>
            <w:shd w:fill="0B1F33"/>
          </w:tcPr>
          <w:p>
            <w:r>
              <w:t>2030</w:t>
            </w:r>
            <w:r>
              <w:rPr>
                <w:rFonts w:ascii="Arial" w:hAnsi="Arial"/>
                <w:b/>
                <w:color w:val="FFFFFF"/>
                <w:sz w:val="15"/>
              </w:rPr>
            </w:r>
          </w:p>
        </w:tc>
        <w:tc>
          <w:tcPr>
            <w:tcW w:type="dxa" w:w="1224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</w:r>
          </w:p>
        </w:tc>
      </w:tr>
      <w:tr>
        <w:tc>
          <w:tcPr>
            <w:tcW w:type="dxa" w:w="2088"/>
            <w:vAlign w:val="center"/>
            <w:shd w:fill="F7F9FB"/>
          </w:tcPr>
          <w:p>
            <w:r>
              <w:t>Ingresos totales</w:t>
            </w:r>
            <w:r>
              <w:rPr>
                <w:rFonts w:ascii="Arial" w:hAnsi="Arial"/>
                <w:b w:val="0"/>
                <w:color w:val="26323F"/>
                <w:sz w:val="15"/>
              </w:rPr>
            </w:r>
          </w:p>
        </w:tc>
        <w:tc>
          <w:tcPr>
            <w:tcW w:type="dxa" w:w="1224"/>
            <w:vAlign w:val="center"/>
            <w:shd w:fill="F7F9FB"/>
          </w:tcPr>
          <w:p>
            <w:r>
              <w:t>9,57 M€</w:t>
            </w:r>
            <w:r>
              <w:rPr>
                <w:rFonts w:ascii="Arial" w:hAnsi="Arial"/>
                <w:b w:val="0"/>
                <w:color w:val="26323F"/>
                <w:sz w:val="15"/>
              </w:rPr>
            </w:r>
          </w:p>
        </w:tc>
        <w:tc>
          <w:tcPr>
            <w:tcW w:type="dxa" w:w="1224"/>
            <w:vAlign w:val="center"/>
            <w:shd w:fill="F7F9FB"/>
          </w:tcPr>
          <w:p>
            <w:r>
              <w:t>43,87 M€</w:t>
            </w:r>
            <w:r>
              <w:rPr>
                <w:rFonts w:ascii="Arial" w:hAnsi="Arial"/>
                <w:b w:val="0"/>
                <w:color w:val="26323F"/>
                <w:sz w:val="15"/>
              </w:rPr>
            </w:r>
          </w:p>
        </w:tc>
        <w:tc>
          <w:tcPr>
            <w:tcW w:type="dxa" w:w="1224"/>
            <w:vAlign w:val="center"/>
            <w:shd w:fill="F7F9FB"/>
          </w:tcPr>
          <w:p>
            <w:r>
              <w:t>94,42 M€</w:t>
            </w:r>
            <w:r>
              <w:rPr>
                <w:rFonts w:ascii="Arial" w:hAnsi="Arial"/>
                <w:b w:val="0"/>
                <w:color w:val="26323F"/>
                <w:sz w:val="15"/>
              </w:rPr>
            </w:r>
          </w:p>
        </w:tc>
        <w:tc>
          <w:tcPr>
            <w:tcW w:type="dxa" w:w="1224"/>
            <w:vAlign w:val="center"/>
            <w:shd w:fill="F7F9FB"/>
          </w:tcPr>
          <w:p>
            <w:r>
              <w:t>192,03 M€</w:t>
            </w:r>
            <w:r>
              <w:rPr>
                <w:rFonts w:ascii="Arial" w:hAnsi="Arial"/>
                <w:b w:val="0"/>
                <w:color w:val="26323F"/>
                <w:sz w:val="15"/>
              </w:rPr>
            </w:r>
          </w:p>
        </w:tc>
        <w:tc>
          <w:tcPr>
            <w:tcW w:type="dxa" w:w="122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</w:r>
          </w:p>
        </w:tc>
      </w:tr>
      <w:tr>
        <w:tc>
          <w:tcPr>
            <w:tcW w:type="dxa" w:w="2088"/>
            <w:vAlign w:val="center"/>
          </w:tcPr>
          <w:p>
            <w:r>
              <w:t>EBITDA</w:t>
            </w:r>
            <w:r>
              <w:rPr>
                <w:rFonts w:ascii="Arial" w:hAnsi="Arial"/>
                <w:b w:val="0"/>
                <w:color w:val="26323F"/>
                <w:sz w:val="15"/>
              </w:rPr>
            </w:r>
          </w:p>
        </w:tc>
        <w:tc>
          <w:tcPr>
            <w:tcW w:type="dxa" w:w="1224"/>
            <w:vAlign w:val="center"/>
          </w:tcPr>
          <w:p>
            <w:r>
              <w:t>0,54 M€</w:t>
            </w:r>
            <w:r>
              <w:rPr>
                <w:rFonts w:ascii="Arial" w:hAnsi="Arial"/>
                <w:b w:val="0"/>
                <w:color w:val="26323F"/>
                <w:sz w:val="15"/>
              </w:rPr>
            </w:r>
          </w:p>
        </w:tc>
        <w:tc>
          <w:tcPr>
            <w:tcW w:type="dxa" w:w="1224"/>
            <w:vAlign w:val="center"/>
          </w:tcPr>
          <w:p>
            <w:r>
              <w:t>17,78 M€</w:t>
            </w:r>
            <w:r>
              <w:rPr>
                <w:rFonts w:ascii="Arial" w:hAnsi="Arial"/>
                <w:b w:val="0"/>
                <w:color w:val="26323F"/>
                <w:sz w:val="15"/>
              </w:rPr>
            </w:r>
          </w:p>
        </w:tc>
        <w:tc>
          <w:tcPr>
            <w:tcW w:type="dxa" w:w="1224"/>
            <w:vAlign w:val="center"/>
          </w:tcPr>
          <w:p>
            <w:r>
              <w:t>45,42 M€</w:t>
            </w:r>
            <w:r>
              <w:rPr>
                <w:rFonts w:ascii="Arial" w:hAnsi="Arial"/>
                <w:b w:val="0"/>
                <w:color w:val="26323F"/>
                <w:sz w:val="15"/>
              </w:rPr>
            </w:r>
          </w:p>
        </w:tc>
        <w:tc>
          <w:tcPr>
            <w:tcW w:type="dxa" w:w="1224"/>
            <w:vAlign w:val="center"/>
          </w:tcPr>
          <w:p>
            <w:r>
              <w:t>107,88 M€</w:t>
            </w:r>
            <w:r>
              <w:rPr>
                <w:rFonts w:ascii="Arial" w:hAnsi="Arial"/>
                <w:b w:val="0"/>
                <w:color w:val="26323F"/>
                <w:sz w:val="15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</w:r>
          </w:p>
        </w:tc>
      </w:tr>
      <w:tr>
        <w:tc>
          <w:tcPr>
            <w:tcW w:type="dxa" w:w="2088"/>
            <w:vAlign w:val="center"/>
            <w:shd w:fill="F7F9FB"/>
          </w:tcPr>
          <w:p>
            <w:r>
              <w:t>Margen EBITDA</w:t>
            </w:r>
            <w:r>
              <w:rPr>
                <w:rFonts w:ascii="Arial" w:hAnsi="Arial"/>
                <w:b w:val="0"/>
                <w:color w:val="26323F"/>
                <w:sz w:val="15"/>
              </w:rPr>
            </w:r>
          </w:p>
        </w:tc>
        <w:tc>
          <w:tcPr>
            <w:tcW w:type="dxa" w:w="1224"/>
            <w:vAlign w:val="center"/>
            <w:shd w:fill="F7F9FB"/>
          </w:tcPr>
          <w:p>
            <w:r>
              <w:t>5,6%</w:t>
            </w:r>
            <w:r>
              <w:rPr>
                <w:rFonts w:ascii="Arial" w:hAnsi="Arial"/>
                <w:b w:val="0"/>
                <w:color w:val="26323F"/>
                <w:sz w:val="15"/>
              </w:rPr>
            </w:r>
          </w:p>
        </w:tc>
        <w:tc>
          <w:tcPr>
            <w:tcW w:type="dxa" w:w="1224"/>
            <w:vAlign w:val="center"/>
            <w:shd w:fill="F7F9FB"/>
          </w:tcPr>
          <w:p>
            <w:r>
              <w:t>40,5%</w:t>
            </w:r>
            <w:r>
              <w:rPr>
                <w:rFonts w:ascii="Arial" w:hAnsi="Arial"/>
                <w:b w:val="0"/>
                <w:color w:val="26323F"/>
                <w:sz w:val="15"/>
              </w:rPr>
            </w:r>
          </w:p>
        </w:tc>
        <w:tc>
          <w:tcPr>
            <w:tcW w:type="dxa" w:w="1224"/>
            <w:vAlign w:val="center"/>
            <w:shd w:fill="F7F9FB"/>
          </w:tcPr>
          <w:p>
            <w:r>
              <w:t>48,1%</w:t>
            </w:r>
            <w:r>
              <w:rPr>
                <w:rFonts w:ascii="Arial" w:hAnsi="Arial"/>
                <w:b w:val="0"/>
                <w:color w:val="26323F"/>
                <w:sz w:val="15"/>
              </w:rPr>
            </w:r>
          </w:p>
        </w:tc>
        <w:tc>
          <w:tcPr>
            <w:tcW w:type="dxa" w:w="1224"/>
            <w:vAlign w:val="center"/>
            <w:shd w:fill="F7F9FB"/>
          </w:tcPr>
          <w:p>
            <w:r>
              <w:t>56,2%</w:t>
            </w:r>
            <w:r>
              <w:rPr>
                <w:rFonts w:ascii="Arial" w:hAnsi="Arial"/>
                <w:b w:val="0"/>
                <w:color w:val="26323F"/>
                <w:sz w:val="15"/>
              </w:rPr>
            </w:r>
          </w:p>
        </w:tc>
        <w:tc>
          <w:tcPr>
            <w:tcW w:type="dxa" w:w="122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</w:r>
          </w:p>
        </w:tc>
      </w:tr>
      <w:tr>
        <w:tc>
          <w:tcPr>
            <w:tcW w:type="dxa" w:w="2088"/>
            <w:vAlign w:val="center"/>
          </w:tcPr>
          <w:p>
            <w:r>
              <w:t>m² emitidos</w:t>
            </w:r>
            <w:r>
              <w:rPr>
                <w:rFonts w:ascii="Arial" w:hAnsi="Arial"/>
                <w:b w:val="0"/>
                <w:color w:val="26323F"/>
                <w:sz w:val="15"/>
              </w:rPr>
            </w:r>
          </w:p>
        </w:tc>
        <w:tc>
          <w:tcPr>
            <w:tcW w:type="dxa" w:w="1224"/>
            <w:vAlign w:val="center"/>
          </w:tcPr>
          <w:p>
            <w:r>
              <w:t>300.000</w:t>
            </w:r>
            <w:r>
              <w:rPr>
                <w:rFonts w:ascii="Arial" w:hAnsi="Arial"/>
                <w:b w:val="0"/>
                <w:color w:val="26323F"/>
                <w:sz w:val="15"/>
              </w:rPr>
            </w:r>
          </w:p>
        </w:tc>
        <w:tc>
          <w:tcPr>
            <w:tcW w:type="dxa" w:w="1224"/>
            <w:vAlign w:val="center"/>
          </w:tcPr>
          <w:p>
            <w:r>
              <w:t>1.160.333</w:t>
            </w:r>
            <w:r>
              <w:rPr>
                <w:rFonts w:ascii="Arial" w:hAnsi="Arial"/>
                <w:b w:val="0"/>
                <w:color w:val="26323F"/>
                <w:sz w:val="15"/>
              </w:rPr>
            </w:r>
          </w:p>
        </w:tc>
        <w:tc>
          <w:tcPr>
            <w:tcW w:type="dxa" w:w="1224"/>
            <w:vAlign w:val="center"/>
          </w:tcPr>
          <w:p>
            <w:r>
              <w:t>2.015.333</w:t>
            </w:r>
            <w:r>
              <w:rPr>
                <w:rFonts w:ascii="Arial" w:hAnsi="Arial"/>
                <w:b w:val="0"/>
                <w:color w:val="26323F"/>
                <w:sz w:val="15"/>
              </w:rPr>
            </w:r>
          </w:p>
        </w:tc>
        <w:tc>
          <w:tcPr>
            <w:tcW w:type="dxa" w:w="1224"/>
            <w:vAlign w:val="center"/>
          </w:tcPr>
          <w:p>
            <w:r>
              <w:t>3.035.333</w:t>
            </w:r>
            <w:r>
              <w:rPr>
                <w:rFonts w:ascii="Arial" w:hAnsi="Arial"/>
                <w:b w:val="0"/>
                <w:color w:val="26323F"/>
                <w:sz w:val="15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</w:r>
          </w:p>
        </w:tc>
      </w:tr>
      <w:tr>
        <w:tc>
          <w:tcPr>
            <w:tcW w:type="dxa" w:w="2088"/>
            <w:vAlign w:val="center"/>
            <w:shd w:fill="F7F9FB"/>
          </w:tcPr>
          <w:p>
            <w:r>
              <w:t>Stock vivo</w:t>
            </w:r>
            <w:r>
              <w:rPr>
                <w:rFonts w:ascii="Arial" w:hAnsi="Arial"/>
                <w:b w:val="0"/>
                <w:color w:val="26323F"/>
                <w:sz w:val="15"/>
              </w:rPr>
            </w:r>
          </w:p>
        </w:tc>
        <w:tc>
          <w:tcPr>
            <w:tcW w:type="dxa" w:w="1224"/>
            <w:vAlign w:val="center"/>
            <w:shd w:fill="F7F9FB"/>
          </w:tcPr>
          <w:p>
            <w:r>
              <w:t>300.000</w:t>
            </w:r>
            <w:r>
              <w:rPr>
                <w:rFonts w:ascii="Arial" w:hAnsi="Arial"/>
                <w:b w:val="0"/>
                <w:color w:val="26323F"/>
                <w:sz w:val="15"/>
              </w:rPr>
            </w:r>
          </w:p>
        </w:tc>
        <w:tc>
          <w:tcPr>
            <w:tcW w:type="dxa" w:w="1224"/>
            <w:vAlign w:val="center"/>
            <w:shd w:fill="F7F9FB"/>
          </w:tcPr>
          <w:p>
            <w:r>
              <w:t>1.460.333</w:t>
            </w:r>
            <w:r>
              <w:rPr>
                <w:rFonts w:ascii="Arial" w:hAnsi="Arial"/>
                <w:b w:val="0"/>
                <w:color w:val="26323F"/>
                <w:sz w:val="15"/>
              </w:rPr>
            </w:r>
          </w:p>
        </w:tc>
        <w:tc>
          <w:tcPr>
            <w:tcW w:type="dxa" w:w="1224"/>
            <w:vAlign w:val="center"/>
            <w:shd w:fill="F7F9FB"/>
          </w:tcPr>
          <w:p>
            <w:r>
              <w:t>3.475.667</w:t>
            </w:r>
            <w:r>
              <w:rPr>
                <w:rFonts w:ascii="Arial" w:hAnsi="Arial"/>
                <w:b w:val="0"/>
                <w:color w:val="26323F"/>
                <w:sz w:val="15"/>
              </w:rPr>
            </w:r>
          </w:p>
        </w:tc>
        <w:tc>
          <w:tcPr>
            <w:tcW w:type="dxa" w:w="1224"/>
            <w:vAlign w:val="center"/>
            <w:shd w:fill="F7F9FB"/>
          </w:tcPr>
          <w:p>
            <w:r>
              <w:t>6.511.000</w:t>
            </w:r>
            <w:r>
              <w:rPr>
                <w:rFonts w:ascii="Arial" w:hAnsi="Arial"/>
                <w:b w:val="0"/>
                <w:color w:val="26323F"/>
                <w:sz w:val="15"/>
              </w:rPr>
            </w:r>
          </w:p>
        </w:tc>
        <w:tc>
          <w:tcPr>
            <w:tcW w:type="dxa" w:w="122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</w:r>
          </w:p>
        </w:tc>
      </w:tr>
      <w:tr>
        <w:tc>
          <w:tcPr>
            <w:tcW w:type="dxa" w:w="2088"/>
            <w:vAlign w:val="center"/>
          </w:tcPr>
          <w:p>
            <w:r>
              <w:t>Partners activos</w:t>
            </w:r>
            <w:r>
              <w:rPr>
                <w:rFonts w:ascii="Arial" w:hAnsi="Arial"/>
                <w:b w:val="0"/>
                <w:color w:val="26323F"/>
                <w:sz w:val="15"/>
              </w:rPr>
            </w:r>
          </w:p>
        </w:tc>
        <w:tc>
          <w:tcPr>
            <w:tcW w:type="dxa" w:w="1224"/>
            <w:vAlign w:val="center"/>
          </w:tcPr>
          <w:p>
            <w:r>
              <w:t>5</w:t>
            </w:r>
            <w:r>
              <w:rPr>
                <w:rFonts w:ascii="Arial" w:hAnsi="Arial"/>
                <w:b w:val="0"/>
                <w:color w:val="26323F"/>
                <w:sz w:val="15"/>
              </w:rPr>
            </w:r>
          </w:p>
        </w:tc>
        <w:tc>
          <w:tcPr>
            <w:tcW w:type="dxa" w:w="1224"/>
            <w:vAlign w:val="center"/>
          </w:tcPr>
          <w:p>
            <w:r>
              <w:t>11</w:t>
            </w:r>
            <w:r>
              <w:rPr>
                <w:rFonts w:ascii="Arial" w:hAnsi="Arial"/>
                <w:b w:val="0"/>
                <w:color w:val="26323F"/>
                <w:sz w:val="15"/>
              </w:rPr>
            </w:r>
          </w:p>
        </w:tc>
        <w:tc>
          <w:tcPr>
            <w:tcW w:type="dxa" w:w="1224"/>
            <w:vAlign w:val="center"/>
          </w:tcPr>
          <w:p>
            <w:r>
              <w:t>17</w:t>
            </w:r>
            <w:r>
              <w:rPr>
                <w:rFonts w:ascii="Arial" w:hAnsi="Arial"/>
                <w:b w:val="0"/>
                <w:color w:val="26323F"/>
                <w:sz w:val="15"/>
              </w:rPr>
            </w:r>
          </w:p>
        </w:tc>
        <w:tc>
          <w:tcPr>
            <w:tcW w:type="dxa" w:w="1224"/>
            <w:vAlign w:val="center"/>
          </w:tcPr>
          <w:p>
            <w:r>
              <w:t>23</w:t>
            </w:r>
            <w:r>
              <w:rPr>
                <w:rFonts w:ascii="Arial" w:hAnsi="Arial"/>
                <w:b w:val="0"/>
                <w:color w:val="26323F"/>
                <w:sz w:val="15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</w:r>
          </w:p>
        </w:tc>
      </w:tr>
      <w:tr>
        <w:tc>
          <w:tcPr>
            <w:tcW w:type="dxa" w:w="2088"/>
            <w:vAlign w:val="center"/>
            <w:shd w:fill="F7F9FB"/>
          </w:tcPr>
          <w:p>
            <w:r>
              <w:t>Financiación modelizada</w:t>
            </w:r>
            <w:r>
              <w:rPr>
                <w:rFonts w:ascii="Arial" w:hAnsi="Arial"/>
                <w:b w:val="0"/>
                <w:color w:val="26323F"/>
                <w:sz w:val="15"/>
              </w:rPr>
            </w:r>
          </w:p>
        </w:tc>
        <w:tc>
          <w:tcPr>
            <w:tcW w:type="dxa" w:w="1224"/>
            <w:vAlign w:val="center"/>
            <w:shd w:fill="F7F9FB"/>
          </w:tcPr>
          <w:p>
            <w:r>
              <w:t>3,0 M€</w:t>
            </w:r>
            <w:r>
              <w:rPr>
                <w:rFonts w:ascii="Arial" w:hAnsi="Arial"/>
                <w:b w:val="0"/>
                <w:color w:val="26323F"/>
                <w:sz w:val="15"/>
              </w:rPr>
            </w:r>
          </w:p>
        </w:tc>
        <w:tc>
          <w:tcPr>
            <w:tcW w:type="dxa" w:w="1224"/>
            <w:vAlign w:val="center"/>
            <w:shd w:fill="F7F9FB"/>
          </w:tcPr>
          <w:p>
            <w:r>
              <w:t>1,5 M€</w:t>
            </w:r>
            <w:r>
              <w:rPr>
                <w:rFonts w:ascii="Arial" w:hAnsi="Arial"/>
                <w:b w:val="0"/>
                <w:color w:val="26323F"/>
                <w:sz w:val="15"/>
              </w:rPr>
            </w:r>
          </w:p>
        </w:tc>
        <w:tc>
          <w:tcPr>
            <w:tcW w:type="dxa" w:w="1224"/>
            <w:vAlign w:val="center"/>
            <w:shd w:fill="F7F9FB"/>
          </w:tcPr>
          <w:p>
            <w:r>
              <w:t>0,0 M€</w:t>
            </w:r>
            <w:r>
              <w:rPr>
                <w:rFonts w:ascii="Arial" w:hAnsi="Arial"/>
                <w:b w:val="0"/>
                <w:color w:val="26323F"/>
                <w:sz w:val="15"/>
              </w:rPr>
            </w:r>
          </w:p>
        </w:tc>
        <w:tc>
          <w:tcPr>
            <w:tcW w:type="dxa" w:w="1224"/>
            <w:vAlign w:val="center"/>
            <w:shd w:fill="F7F9FB"/>
          </w:tcPr>
          <w:p>
            <w:r>
              <w:t>0,0 M€</w:t>
            </w:r>
            <w:r>
              <w:rPr>
                <w:rFonts w:ascii="Arial" w:hAnsi="Arial"/>
                <w:b w:val="0"/>
                <w:color w:val="26323F"/>
                <w:sz w:val="15"/>
              </w:rPr>
            </w:r>
          </w:p>
        </w:tc>
        <w:tc>
          <w:tcPr>
            <w:tcW w:type="dxa" w:w="122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</w:r>
          </w:p>
        </w:tc>
      </w:tr>
    </w:tbl>
    <w:p/>
    <w:p>
      <w:pPr>
        <w:spacing w:after="100"/>
        <w:ind w:left="216"/>
      </w:pPr>
      <w:r>
        <w:rPr>
          <w:rFonts w:ascii="Arial" w:hAnsi="Arial"/>
          <w:i/>
          <w:color w:val="667085"/>
          <w:sz w:val="17"/>
        </w:rPr>
        <w:t>La financiación modelizada 2026-2028 no es capital comprometido. Debe estructurarse por tramos y liberarse contra reducción verificable de riesgo.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370713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mix_203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707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67085"/>
          <w:sz w:val="17"/>
        </w:rPr>
        <w:t>Figura 10. Mix de ingresos 2030 por motor.</w:t>
      </w:r>
    </w:p>
    <w:p>
      <w:pPr>
        <w:pStyle w:val="Heading1"/>
      </w:pPr>
      <w:r>
        <w:rPr>
          <w:rFonts w:ascii="Arial" w:hAnsi="Arial"/>
          <w:color w:val="0B1F33"/>
        </w:rPr>
        <w:t>12. Valoración 2027 y 2030</w:t>
      </w:r>
    </w:p>
    <w:p>
      <w:pPr>
        <w:spacing w:line="271" w:lineRule="auto" w:after="120"/>
      </w:pPr>
      <w:r>
        <w:rPr>
          <w:rFonts w:ascii="Arial" w:hAnsi="Arial"/>
          <w:color w:val="26323F"/>
          <w:sz w:val="20"/>
        </w:rPr>
        <w:t>La valoración 2027 se presenta como objetivo de gestión, no como tasación independiente. La lectura depende de hitos: release comercial, casos, hub, monetización de red, pipeline, contrato KIWA/RMOOB único, gobierno y repetibilidad.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370713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valuation_bridge_202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707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67085"/>
          <w:sz w:val="17"/>
        </w:rPr>
        <w:t>Figura 11. Bridge de valor actual a objetivo 2027.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20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Hito</w:t>
            </w:r>
          </w:p>
        </w:tc>
        <w:tc>
          <w:tcPr>
            <w:tcW w:type="dxa" w:w="1224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Incremento</w:t>
            </w:r>
          </w:p>
        </w:tc>
        <w:tc>
          <w:tcPr>
            <w:tcW w:type="dxa" w:w="1224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Acumulado</w:t>
            </w:r>
          </w:p>
        </w:tc>
        <w:tc>
          <w:tcPr>
            <w:tcW w:type="dxa" w:w="3888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Evidencia requerida</w:t>
            </w:r>
          </w:p>
        </w:tc>
      </w:tr>
      <w:tr>
        <w:tc>
          <w:tcPr>
            <w:tcW w:type="dxa" w:w="2520"/>
            <w:vAlign w:val="center"/>
            <w:shd w:fill="F7F9FB"/>
          </w:tcPr>
          <w:p>
            <w:r>
              <w:t>Valor actual de referencia</w:t>
            </w:r>
            <w:r>
              <w:rPr>
                <w:rFonts w:ascii="Arial" w:hAnsi="Arial"/>
                <w:b w:val="0"/>
                <w:color w:val="26323F"/>
                <w:sz w:val="14"/>
              </w:rPr>
            </w:r>
          </w:p>
        </w:tc>
        <w:tc>
          <w:tcPr>
            <w:tcW w:type="dxa" w:w="122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4.216.175 €</w:t>
            </w:r>
          </w:p>
        </w:tc>
        <w:tc>
          <w:tcPr>
            <w:tcW w:type="dxa" w:w="122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4.216.175 €</w:t>
            </w:r>
          </w:p>
        </w:tc>
        <w:tc>
          <w:tcPr>
            <w:tcW w:type="dxa" w:w="3888"/>
            <w:vAlign w:val="center"/>
            <w:shd w:fill="F7F9FB"/>
          </w:tcPr>
          <w:p>
            <w:r>
              <w:t>Informe inversor, memoria de inversión, activos, demos</w:t>
            </w:r>
            <w:r>
              <w:rPr>
                <w:rFonts w:ascii="Arial" w:hAnsi="Arial"/>
                <w:b w:val="0"/>
                <w:color w:val="26323F"/>
                <w:sz w:val="14"/>
              </w:rPr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Producto CUEVA OS comercializable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1.200.000 €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5.416.175 €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Release, demo, QA, documentación, seguridad</w:t>
            </w:r>
          </w:p>
        </w:tc>
      </w:tr>
      <w:tr>
        <w:tc>
          <w:tcPr>
            <w:tcW w:type="dxa" w:w="252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Casos y validación industrial</w:t>
            </w:r>
          </w:p>
        </w:tc>
        <w:tc>
          <w:tcPr>
            <w:tcW w:type="dxa" w:w="122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900.000 €</w:t>
            </w:r>
          </w:p>
        </w:tc>
        <w:tc>
          <w:tcPr>
            <w:tcW w:type="dxa" w:w="122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6.316.175 €</w:t>
            </w:r>
          </w:p>
        </w:tc>
        <w:tc>
          <w:tcPr>
            <w:tcW w:type="dxa" w:w="388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Piedrahita, Menorca, Llar de Mar 2 con POI/DPP</w:t>
            </w:r>
          </w:p>
        </w:tc>
      </w:tr>
      <w:tr>
        <w:tc>
          <w:tcPr>
            <w:tcW w:type="dxa" w:w="2520"/>
            <w:vAlign w:val="center"/>
          </w:tcPr>
          <w:p>
            <w:r>
              <w:t>Hub Valeriano operativo</w:t>
            </w:r>
            <w:r>
              <w:rPr>
                <w:rFonts w:ascii="Arial" w:hAnsi="Arial"/>
                <w:b w:val="0"/>
                <w:color w:val="26323F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800.000 €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7.116.175 €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Acuerdo hub, showroom, visitas y primer proyecto</w:t>
            </w:r>
          </w:p>
        </w:tc>
      </w:tr>
      <w:tr>
        <w:tc>
          <w:tcPr>
            <w:tcW w:type="dxa" w:w="252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Monetización de red demostrada</w:t>
            </w:r>
          </w:p>
        </w:tc>
        <w:tc>
          <w:tcPr>
            <w:tcW w:type="dxa" w:w="122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850.000 €</w:t>
            </w:r>
          </w:p>
        </w:tc>
        <w:tc>
          <w:tcPr>
            <w:tcW w:type="dxa" w:w="122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7.966.175 €</w:t>
            </w:r>
          </w:p>
        </w:tc>
        <w:tc>
          <w:tcPr>
            <w:tcW w:type="dxa" w:w="388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Primer fabricante y montador digitalizados + fees 2,5/2,5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Pipeline e ingresos 2027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950.000 €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8.916.175 €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Contratos, facturas, cobros, P&amp;L y EBITDA positivo</w:t>
            </w:r>
          </w:p>
        </w:tc>
      </w:tr>
      <w:tr>
        <w:tc>
          <w:tcPr>
            <w:tcW w:type="dxa" w:w="252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KIWA/RMOOB proyecto único</w:t>
            </w:r>
          </w:p>
        </w:tc>
        <w:tc>
          <w:tcPr>
            <w:tcW w:type="dxa" w:w="122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400.000 €</w:t>
            </w:r>
          </w:p>
        </w:tc>
        <w:tc>
          <w:tcPr>
            <w:tcW w:type="dxa" w:w="122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9.316.175 €</w:t>
            </w:r>
          </w:p>
        </w:tc>
        <w:tc>
          <w:tcPr>
            <w:tcW w:type="dxa" w:w="388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Contrato único de 400k, alcance y cobros por hitos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Gobierno, carpeta documental y repetibilidad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350.000 €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9.666.175 €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Contratos tipo, unit economics, KPIs y evidencias</w:t>
            </w:r>
          </w:p>
        </w:tc>
      </w:tr>
      <w:tr>
        <w:tc>
          <w:tcPr>
            <w:tcW w:type="dxa" w:w="252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Opcionalidad estratégica y mercado</w:t>
            </w:r>
          </w:p>
        </w:tc>
        <w:tc>
          <w:tcPr>
            <w:tcW w:type="dxa" w:w="122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150.000 €</w:t>
            </w:r>
          </w:p>
        </w:tc>
        <w:tc>
          <w:tcPr>
            <w:tcW w:type="dxa" w:w="122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9.816.175 €</w:t>
            </w:r>
          </w:p>
        </w:tc>
        <w:tc>
          <w:tcPr>
            <w:tcW w:type="dxa" w:w="3888"/>
            <w:vAlign w:val="center"/>
            <w:shd w:fill="F7F9FB"/>
          </w:tcPr>
          <w:p>
            <w:r>
              <w:t>CRM, partners, verticales y condocumento</w:t>
            </w:r>
            <w:r>
              <w:rPr>
                <w:rFonts w:ascii="Arial" w:hAnsi="Arial"/>
                <w:b w:val="0"/>
                <w:color w:val="26323F"/>
                <w:sz w:val="14"/>
              </w:rPr>
            </w:r>
          </w:p>
        </w:tc>
      </w:tr>
      <w:tr>
        <w:tc>
          <w:tcPr>
            <w:tcW w:type="dxa" w:w="2520"/>
            <w:vAlign w:val="center"/>
          </w:tcPr>
          <w:p>
            <w:r>
              <w:t>Haircut prudencia para objetivo de referencia</w:t>
            </w:r>
            <w:r>
              <w:rPr>
                <w:rFonts w:ascii="Arial" w:hAnsi="Arial"/>
                <w:b w:val="0"/>
                <w:color w:val="26323F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-316.175 €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9.500.000 €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Ancla comercial: 9,5M EUR, rango 8-12M</w:t>
            </w:r>
          </w:p>
        </w:tc>
      </w:tr>
    </w:tbl>
    <w:p/>
    <w:p>
      <w:pPr>
        <w:spacing w:line="271" w:lineRule="auto" w:after="120"/>
      </w:pPr>
      <w:r>
        <w:rPr>
          <w:rFonts w:ascii="Arial" w:hAnsi="Arial"/>
          <w:color w:val="26323F"/>
          <w:sz w:val="20"/>
        </w:rPr>
        <w:t>En 2030, el EV midpoint del modelo base asciende a 1.599,8 M€. La SOTP base ofrece un contraste adicional por calidad de ingreso y reduce el riesgo de aplicar un único múltiplo a realidades económicas distintas.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370713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scenarios_203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707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67085"/>
          <w:sz w:val="17"/>
        </w:rPr>
        <w:t>Figura 12. Escenarios 2030 y comparación frente al umbral unicornio.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584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Escenario</w:t>
            </w:r>
          </w:p>
        </w:tc>
        <w:tc>
          <w:tcPr>
            <w:tcW w:type="dxa" w:w="1656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Ingresos 2030</w:t>
            </w:r>
          </w:p>
        </w:tc>
        <w:tc>
          <w:tcPr>
            <w:tcW w:type="dxa" w:w="1656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EBITDA 2030</w:t>
            </w:r>
          </w:p>
        </w:tc>
        <w:tc>
          <w:tcPr>
            <w:tcW w:type="dxa" w:w="1656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EV midpoint</w:t>
            </w:r>
          </w:p>
        </w:tc>
        <w:tc>
          <w:tcPr>
            <w:tcW w:type="dxa" w:w="2880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Lectura</w:t>
            </w:r>
          </w:p>
        </w:tc>
      </w:tr>
      <w:tr>
        <w:tc>
          <w:tcPr>
            <w:tcW w:type="dxa" w:w="158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Guarded</w:t>
            </w:r>
          </w:p>
        </w:tc>
        <w:tc>
          <w:tcPr>
            <w:tcW w:type="dxa" w:w="1656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122,9 M€</w:t>
            </w:r>
          </w:p>
        </w:tc>
        <w:tc>
          <w:tcPr>
            <w:tcW w:type="dxa" w:w="1656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62,2 M€</w:t>
            </w:r>
          </w:p>
        </w:tc>
        <w:tc>
          <w:tcPr>
            <w:tcW w:type="dxa" w:w="1656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773,2 M€</w:t>
            </w:r>
          </w:p>
        </w:tc>
        <w:tc>
          <w:tcPr>
            <w:tcW w:type="dxa" w:w="288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Condicionado a volumen, partners, adopción y capital.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Base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192,0 M€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107,9 M€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1.599,8 M€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Condicionado a volumen, partners, adopción y capital.</w:t>
            </w:r>
          </w:p>
        </w:tc>
      </w:tr>
      <w:tr>
        <w:tc>
          <w:tcPr>
            <w:tcW w:type="dxa" w:w="158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Breakout</w:t>
            </w:r>
          </w:p>
        </w:tc>
        <w:tc>
          <w:tcPr>
            <w:tcW w:type="dxa" w:w="1656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261,4 M€</w:t>
            </w:r>
          </w:p>
        </w:tc>
        <w:tc>
          <w:tcPr>
            <w:tcW w:type="dxa" w:w="1656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160,0 M€</w:t>
            </w:r>
          </w:p>
        </w:tc>
        <w:tc>
          <w:tcPr>
            <w:tcW w:type="dxa" w:w="1656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2.645,8 M€</w:t>
            </w:r>
          </w:p>
        </w:tc>
        <w:tc>
          <w:tcPr>
            <w:tcW w:type="dxa" w:w="288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Condicionado a volumen, partners, adopción y capital.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0B1F33"/>
        </w:rPr>
        <w:t>13. Riesgos, gates y control</w:t>
      </w:r>
    </w:p>
    <w:p>
      <w:pPr>
        <w:spacing w:line="271" w:lineRule="auto" w:after="120"/>
      </w:pPr>
      <w:r>
        <w:rPr>
          <w:rFonts w:ascii="Arial" w:hAnsi="Arial"/>
          <w:color w:val="26323F"/>
          <w:sz w:val="20"/>
        </w:rPr>
        <w:t>La fortaleza del BP no está en prometer una curva agresiva, sino en convertir cada riesgo en gate observable con decisión predefinida. La documento debe circular como documento vivo pero controlado: cualquier cambio de cifra requiere fuente, responsable, fecha, racional y check contra el Excel validado.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370713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risk_gat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707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67085"/>
          <w:sz w:val="17"/>
        </w:rPr>
        <w:t>Figura 13. Mapa de riesgos, gates y decisiones operativas.</w:t>
      </w:r>
    </w:p>
    <w:p>
      <w:pPr>
        <w:pStyle w:val="Heading2"/>
      </w:pPr>
      <w:r>
        <w:rPr>
          <w:rFonts w:ascii="Arial" w:hAnsi="Arial"/>
          <w:color w:val="0B1F33"/>
        </w:rPr>
        <w:t>13.1. Reglas de lectura ante analista</w:t>
      </w:r>
    </w:p>
    <w:p>
      <w:pPr>
        <w:pStyle w:val="ListBullet"/>
        <w:spacing w:after="60"/>
      </w:pPr>
      <w:r>
        <w:rPr>
          <w:rFonts w:ascii="Arial" w:hAnsi="Arial"/>
          <w:color w:val="26323F"/>
          <w:sz w:val="19"/>
        </w:rPr>
        <w:t>No vender royalties: vender activation, evidence, network services y datos sobre stock vivo.</w:t>
      </w:r>
    </w:p>
    <w:p>
      <w:pPr>
        <w:pStyle w:val="ListBullet"/>
        <w:spacing w:after="60"/>
      </w:pPr>
      <w:r>
        <w:rPr>
          <w:rFonts w:ascii="Arial" w:hAnsi="Arial"/>
          <w:color w:val="26323F"/>
          <w:sz w:val="19"/>
        </w:rPr>
        <w:t>No presentar CUEVA como constructora: CUEVA habilita, verifica y opera activos construidos.</w:t>
      </w:r>
    </w:p>
    <w:p>
      <w:pPr>
        <w:pStyle w:val="ListBullet"/>
        <w:spacing w:after="60"/>
      </w:pPr>
      <w:r>
        <w:rPr>
          <w:rFonts w:ascii="Arial" w:hAnsi="Arial"/>
          <w:color w:val="26323F"/>
          <w:sz w:val="19"/>
        </w:rPr>
        <w:t>El unicornio no es garantía: es outcome condicionado a hitos, capital y ejecución.</w:t>
      </w:r>
    </w:p>
    <w:p>
      <w:pPr>
        <w:pStyle w:val="ListBullet"/>
        <w:spacing w:after="60"/>
      </w:pPr>
      <w:r>
        <w:rPr>
          <w:rFonts w:ascii="Arial" w:hAnsi="Arial"/>
          <w:color w:val="26323F"/>
          <w:sz w:val="19"/>
        </w:rPr>
        <w:t>Separar ingresos por calidad: recurrente, contractual one-shot, servicios, proyecto y upside.</w:t>
      </w:r>
    </w:p>
    <w:p>
      <w:pPr>
        <w:pStyle w:val="ListBullet"/>
        <w:spacing w:after="60"/>
      </w:pPr>
      <w:r>
        <w:rPr>
          <w:rFonts w:ascii="Arial" w:hAnsi="Arial"/>
          <w:color w:val="26323F"/>
          <w:sz w:val="19"/>
        </w:rPr>
        <w:t>En iPath, hablar de recepción documental, mantenimiento, TCO, circularidad, SLA y disponibilidad.</w:t>
      </w:r>
    </w:p>
    <w:p>
      <w:pPr>
        <w:pStyle w:val="ListBullet"/>
        <w:spacing w:after="60"/>
      </w:pPr>
      <w:r>
        <w:rPr>
          <w:rFonts w:ascii="Arial" w:hAnsi="Arial"/>
          <w:color w:val="26323F"/>
          <w:sz w:val="19"/>
        </w:rPr>
        <w:t>POI antes que DPP: primero la prueba física; después el pasaporte vivo.</w:t>
      </w:r>
    </w:p>
    <w:p>
      <w:pPr>
        <w:pStyle w:val="ListBullet"/>
        <w:spacing w:after="60"/>
      </w:pPr>
      <w:r>
        <w:rPr>
          <w:rFonts w:ascii="Arial" w:hAnsi="Arial"/>
          <w:color w:val="26323F"/>
          <w:sz w:val="19"/>
        </w:rPr>
        <w:t>En valoración, usar bridge por hitos y suma de partes como contraste.</w:t>
      </w:r>
    </w:p>
    <w:p>
      <w:pPr>
        <w:pStyle w:val="Heading1"/>
      </w:pPr>
      <w:r>
        <w:rPr>
          <w:rFonts w:ascii="Arial" w:hAnsi="Arial"/>
          <w:color w:val="0B1F33"/>
        </w:rPr>
        <w:t>14. Estructura de inversión y documentación de soporte</w:t>
      </w:r>
    </w:p>
    <w:p>
      <w:pPr>
        <w:spacing w:line="271" w:lineRule="auto" w:after="120"/>
      </w:pPr>
      <w:r>
        <w:rPr>
          <w:rFonts w:ascii="Arial" w:hAnsi="Arial"/>
          <w:color w:val="26323F"/>
          <w:sz w:val="20"/>
        </w:rPr>
        <w:t>Para posibles interesados cualificados se plantea una conversación flexible: aportación directa, préstamo participativo o instrumento convertible, siempre vinculado a gates de ejecución. El escenario 2030 no debe venderse como pre-money actual; la conversación se ancla en el valor actual de referencia, el plan 300K y la mejora de posición esperada a 2027.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Documento / fuente</w:t>
            </w:r>
          </w:p>
        </w:tc>
        <w:tc>
          <w:tcPr>
            <w:tcW w:type="dxa" w:w="5760"/>
            <w:vAlign w:val="center"/>
            <w:shd w:fill="0B1F33"/>
          </w:tcPr>
          <w:p>
            <w:r>
              <w:t>Uso en el BP</w:t>
            </w:r>
            <w:r>
              <w:rPr>
                <w:rFonts w:ascii="Arial" w:hAnsi="Arial"/>
                <w:b/>
                <w:color w:val="FFFFFF"/>
                <w:sz w:val="15"/>
              </w:rPr>
            </w:r>
          </w:p>
        </w:tc>
      </w:tr>
      <w:tr>
        <w:tc>
          <w:tcPr>
            <w:tcW w:type="dxa" w:w="3600"/>
            <w:vAlign w:val="center"/>
            <w:shd w:fill="F7F9FB"/>
          </w:tcPr>
          <w:p>
            <w:r>
              <w:t>CUEVA_BP_TOTAL_Y_MEMORANDO_INVERSOR__2026-07-13.docx</w:t>
            </w:r>
            <w:r>
              <w:rPr>
                <w:rFonts w:ascii="Arial" w:hAnsi="Arial"/>
                <w:b w:val="0"/>
                <w:color w:val="26323F"/>
                <w:sz w:val="15"/>
              </w:rPr>
            </w:r>
          </w:p>
        </w:tc>
        <w:tc>
          <w:tcPr>
            <w:tcW w:type="dxa" w:w="576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Contenido base, narrativa de Asset OS, estructura total y matriz de producto/modelo.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CUEVA_MODELO_FINANCIERO_V8_VALIDADO_2026-07-13.xlsx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Cifras definitivas de plan 300K, 2027, 2030, valoración, escenarios y stress.</w:t>
            </w:r>
          </w:p>
        </w:tc>
      </w:tr>
      <w:tr>
        <w:tc>
          <w:tcPr>
            <w:tcW w:type="dxa" w:w="360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BP narrativo de referencia 10/07/2026</w:t>
            </w:r>
          </w:p>
        </w:tc>
        <w:tc>
          <w:tcPr>
            <w:tcW w:type="dxa" w:w="576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Estructura inversora, claridad expositiva y lectura de tesis.</w:t>
            </w:r>
          </w:p>
        </w:tc>
      </w:tr>
      <w:tr>
        <w:tc>
          <w:tcPr>
            <w:tcW w:type="dxa" w:w="3600"/>
            <w:vAlign w:val="center"/>
          </w:tcPr>
          <w:p>
            <w:r>
              <w:t>Informe de inversión y producto CUEVA OS</w:t>
            </w:r>
            <w:r>
              <w:rPr>
                <w:rFonts w:ascii="Arial" w:hAnsi="Arial"/>
                <w:b w:val="0"/>
                <w:color w:val="26323F"/>
                <w:sz w:val="15"/>
              </w:rPr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Base de valoración actual, familias técnicas, TRL, evidencias y benchmarks.</w:t>
            </w:r>
          </w:p>
        </w:tc>
      </w:tr>
      <w:tr>
        <w:tc>
          <w:tcPr>
            <w:tcW w:type="dxa" w:w="360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Memorias CDTI, Cervera, Tax Lease y CEREBRO</w:t>
            </w:r>
          </w:p>
        </w:tc>
        <w:tc>
          <w:tcPr>
            <w:tcW w:type="dxa" w:w="5760"/>
            <w:vAlign w:val="center"/>
            <w:shd w:fill="F7F9FB"/>
          </w:tcPr>
          <w:p>
            <w:r>
              <w:t>Triangulación técnica y lectura de alcance de reproducción.</w:t>
            </w:r>
            <w:r>
              <w:rPr>
                <w:rFonts w:ascii="Arial" w:hAnsi="Arial"/>
                <w:b w:val="0"/>
                <w:color w:val="26323F"/>
                <w:sz w:val="15"/>
              </w:rPr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Carta de Servicios, Benefits OS, iPath, white paper blockchain y vivienda generativa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Producto, verticales, beneficios, activos digitales y extensiones futuras.</w:t>
            </w:r>
          </w:p>
        </w:tc>
      </w:tr>
    </w:tbl>
    <w:p/>
    <w:p>
      <w:pPr>
        <w:spacing w:after="100"/>
        <w:ind w:left="216"/>
      </w:pPr>
      <w:r>
        <w:rPr>
          <w:rFonts w:ascii="Arial" w:hAnsi="Arial"/>
          <w:i/>
          <w:color w:val="667085"/>
          <w:sz w:val="17"/>
        </w:rPr>
        <w:t>Este documento no sustituye revisión legal, fiscal, contable o técnica independiente. Las proyecciones son modelos de gestión condicionados a ejecución, contratos, cobros, capital y mercado.</w:t>
      </w:r>
    </w:p>
    <w:p>
      <w:pPr>
        <w:pStyle w:val="Heading1"/>
      </w:pPr>
      <w:r>
        <w:rPr>
          <w:rFonts w:ascii="Arial" w:hAnsi="Arial"/>
          <w:color w:val="0B1F33"/>
        </w:rPr>
        <w:t>15. Cierre</w:t>
      </w:r>
    </w:p>
    <w:p>
      <w:pPr>
        <w:spacing w:line="271" w:lineRule="auto" w:after="120"/>
      </w:pPr>
      <w:r>
        <w:rPr>
          <w:rFonts w:ascii="Arial" w:hAnsi="Arial"/>
          <w:color w:val="26323F"/>
          <w:sz w:val="20"/>
        </w:rPr>
        <w:t>La forma correcta de vender CUEVA es ambiciosa pero verificable. El activo ya construido permite presentar una base de 4,216 M€. El tramo de 300K convierte esa base en producto comercial, pipeline gobernado y primer caso de red. El plan 2030 es el resultado posible si los hitos liberan capital, partners y m². La oportunidad no está en prometer más: está en demostrar más rápido, con evidencia y con disciplina.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448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Problema sectorial</w:t>
            </w:r>
          </w:p>
        </w:tc>
        <w:tc>
          <w:tcPr>
            <w:tcW w:type="dxa" w:w="3744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Aporte CUEVA</w:t>
            </w:r>
          </w:p>
        </w:tc>
        <w:tc>
          <w:tcPr>
            <w:tcW w:type="dxa" w:w="3168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Cambio esperado</w:t>
            </w:r>
          </w:p>
        </w:tc>
      </w:tr>
      <w:tr>
        <w:tc>
          <w:tcPr>
            <w:tcW w:type="dxa" w:w="244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Circularidad y residuos</w:t>
            </w:r>
          </w:p>
        </w:tc>
        <w:tc>
          <w:tcPr>
            <w:tcW w:type="dxa" w:w="374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DPP, Circular Ledger, materiales, ciclos, reutilización y fin de vida.</w:t>
            </w:r>
          </w:p>
        </w:tc>
        <w:tc>
          <w:tcPr>
            <w:tcW w:type="dxa" w:w="316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Mejor reporte ESG, menor pérdida de material y reutilización verificable.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Trazabilidad y recepción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POI, audit trail, timestamp, responsable, ubicación y dossier.</w:t>
            </w:r>
          </w:p>
        </w:tc>
        <w:tc>
          <w:tcPr>
            <w:tcW w:type="dxa" w:w="3168"/>
            <w:vAlign w:val="center"/>
          </w:tcPr>
          <w:p>
            <w:r>
              <w:t>Menos disputas, cierres más rápidos y evidencias consistentes.</w:t>
            </w:r>
            <w:r>
              <w:rPr>
                <w:rFonts w:ascii="Arial" w:hAnsi="Arial"/>
                <w:b w:val="0"/>
                <w:color w:val="26323F"/>
                <w:sz w:val="15"/>
              </w:rPr>
            </w:r>
          </w:p>
        </w:tc>
      </w:tr>
      <w:tr>
        <w:tc>
          <w:tcPr>
            <w:tcW w:type="dxa" w:w="244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Escasez de personal técnico</w:t>
            </w:r>
          </w:p>
        </w:tc>
        <w:tc>
          <w:tcPr>
            <w:tcW w:type="dxa" w:w="374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Designer, API, reglas generativas, ingeniería virtual y automatización.</w:t>
            </w:r>
          </w:p>
        </w:tc>
        <w:tc>
          <w:tcPr>
            <w:tcW w:type="dxa" w:w="316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Captura de conocimiento y menor dependencia de perfiles escasos.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Fragmentación entre agentes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Project Room, perfiles, permisos, dashboards, conectores y Market OS.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Coordinación, continuidad documental y decisión basada en datos.</w:t>
            </w:r>
          </w:p>
        </w:tc>
      </w:tr>
      <w:tr>
        <w:tc>
          <w:tcPr>
            <w:tcW w:type="dxa" w:w="244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Coste, plazo y logística</w:t>
            </w:r>
          </w:p>
        </w:tc>
        <w:tc>
          <w:tcPr>
            <w:tcW w:type="dxa" w:w="374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Factory Core, Factory Flow, Warehouse OS, rutas, packing y Site Proof.</w:t>
            </w:r>
          </w:p>
        </w:tc>
        <w:tc>
          <w:tcPr>
            <w:tcW w:type="dxa" w:w="316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Control de estados, costes reales, incidencias y recepción por hito.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Financiación y explotación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Activos digitales, datos, mantenimiento, derechos y marketplace.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Puente entre activo físico, evidencia, servicio, financiación y transacción.</w:t>
            </w:r>
          </w:p>
        </w:tc>
      </w:tr>
    </w:tbl>
    <w:p/>
    <w:sectPr>
      <w:footerReference w:type="default" r:id="rId9"/>
      <w:headerReference w:type="default" r:id="rId25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7085"/>
        <w:sz w:val="16"/>
      </w:rPr>
      <w:t>CUEVA · Documento confidencial para posibles interesados cualificados · · 15/07/2026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B1F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B1F3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0B1F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CUEVA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