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A5F"/>
          <w:sz w:val="44"/>
        </w:rPr>
        <w:t>Valoración por inversión acumulada y versiones de producto</w:t>
        <w:br/>
        <w:t>EDRO / CUEVA</w:t>
      </w:r>
    </w:p>
    <w:p>
      <w:pPr>
        <w:jc w:val="center"/>
      </w:pPr>
      <w:r>
        <w:rPr>
          <w:i/>
        </w:rPr>
        <w:t>Versión 2 | Base documental ampliada 2012/13-actualidad | Preparación inversor</w:t>
      </w:r>
    </w:p>
    <w:p>
      <w:pPr>
        <w:pStyle w:val="Heading1"/>
      </w:pPr>
      <w:r>
        <w:rPr>
          <w:rFonts w:ascii="Calibri" w:hAnsi="Calibri"/>
          <w:color w:val="2E74B5"/>
        </w:rPr>
        <w:t>1. Resumen ejecutivo</w:t>
      </w:r>
    </w:p>
    <w:p>
      <w:pPr>
        <w:spacing w:after="120" w:line="264" w:lineRule="auto"/>
      </w:pPr>
      <w:r>
        <w:t>Esta v2 amplía la foto base anterior y reconstruye la inversión acumulada desde el nacimiento del proyecto hasta la actualidad. La tesis de valoración se mantiene: el valor se argumenta por inversión realizada/asumida y por coste de desarrollo acumulado, no por descuento de flujos, múltiplos o hipótesis comerciales futuras.</w:t>
      </w:r>
    </w:p>
    <w:p>
      <w:pPr>
        <w:spacing w:after="120" w:line="264" w:lineRule="auto"/>
      </w:pPr>
      <w:r>
        <w:t>La inversión total defendible en esta versión asciende a 4.216.174,70 EUR. Se compone de una fase inicial conceptual 2012/13-2018 por 425.000,00 EUR, la Base EDRO con Operativa 2019-2022/23 por 2.121.174,70 EUR y la fase actual CUEVA OS 2023-actualidad por 1.670.000,00 EUR.</w:t>
      </w:r>
    </w:p>
    <w:p>
      <w:pPr>
        <w:spacing w:after="120" w:line="264" w:lineRule="auto"/>
      </w:pPr>
      <w:r>
        <w:t>La lectura de producto es continua: la fase inicial crea las mecánicas, arquitectura, ingeniería y geometría base; la fase EDRO desarrolla el sistema físico, placa, DfMA, CEREBRO, fabricación, montaje y comunidad; la fase CUEVA convierte ese know-how en un sistema operativo digital con activos digitales, POI/DPP, GIS, gestores, interfaces de agentes, lectores/neuronas, modelo financiero/NFT y paquetes comercializables.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Bloque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Periodo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Importe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Peso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Criterio de evidencia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Fase conceptual fundacional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2012/13-2018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425.000,00 EUR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10,08%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Asignación de dirección; requiere soporte granular para auditoría contable.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2.121.174,70 EUR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50,31%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Foto v6 deuda/inversión documentada; matriz CEREBRO/CDTI/Tax Lease/Cervera.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Capa actual CUEVA OS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2023-09/07/2026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1.670.000,00 EUR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39,61%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Asignación de dirección + documentos de producto Benefits OS, Logistik e iPath.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Total v2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2012/13-09/07/2026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4.216.174,70 EUR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100,00%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para negociación, pendiente de anexos contables finos en fases no bancarizadas.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3249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inversion_por_et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2E74B5"/>
        </w:rPr>
        <w:t>2. Criterio de auditoría y no duplicidad</w:t>
      </w:r>
    </w:p>
    <w:p>
      <w:pPr>
        <w:pStyle w:val="ListBullet"/>
        <w:spacing w:after="80"/>
      </w:pPr>
      <w:r>
        <w:t>La Base EDRO con Operativa conserva el importe v6 y no se incrementa con presupuestos CDTI, Tax Lease o Cervera.</w:t>
      </w:r>
    </w:p>
    <w:p>
      <w:pPr>
        <w:pStyle w:val="ListBullet"/>
        <w:spacing w:after="80"/>
      </w:pPr>
      <w:r>
        <w:t>CDTI, Tax Lease y Cervera son referencias de alcance, hitos, presupuestos y validación técnica; no son deuda adicional en esta v2.</w:t>
      </w:r>
    </w:p>
    <w:p>
      <w:pPr>
        <w:pStyle w:val="ListBullet"/>
        <w:spacing w:after="80"/>
      </w:pPr>
      <w:r>
        <w:t>La fase inicial y la fase actual se incorporan como asignaciones de inversión indicadas por dirección. Para auditoría plena deben enlazarse después a facturas, nóminas, contratos, pagos, horas internas, proveedores, repositorios y entregables.</w:t>
      </w:r>
    </w:p>
    <w:p>
      <w:pPr>
        <w:pStyle w:val="ListBullet"/>
        <w:spacing w:after="80"/>
      </w:pPr>
      <w:r>
        <w:t>Los documentos de producto actuales no son por sí solos prueba contable de 1,67 M EUR, pero sí prueban el perímetro técnico/comercial desarrollado y permiten mapear esa inversión a paquetes concretos.</w:t>
      </w:r>
    </w:p>
    <w:p>
      <w:r>
        <w:drawing>
          <wp:inline xmlns:a="http://schemas.openxmlformats.org/drawingml/2006/main" xmlns:pic="http://schemas.openxmlformats.org/drawingml/2006/picture">
            <wp:extent cx="5943600" cy="39004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mapa_continuidad_produc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2E74B5"/>
        </w:rPr>
        <w:t>3. Lectura por periodos y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Versión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Periodo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Importe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Desarrollo asociado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Evidencia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Pre-EDRO V0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2012/13-2018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425.000,00 EUR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Concepto, mecánicas, arquitectura, ingeniería, geometría, algoritmo inicial, apps de lectura.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Know-how fundacional que luego se formaliza en CDTI/Cervera/Tax Lease.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 V1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Dentro de Base EDRO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Placa, sistema físico, DfMA, diseño paramétrico, ensayos, prototipos.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CDTI memoria, Hito 1, Leyton Placas EDRO.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2020-2021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Dentro de Base EDRO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Infraestructura de datos/software, backend/frontend, BIM/Open BIM, IoT, firmware, ciberseguridad.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Cervera, Arcano, CEREBRO por fases.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2021-2022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Dentro de Base EDRO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Fabricación, almacenaje, transporte, montaje automatizado, control remoto y navegación a POI.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Tax Lease/Arcano, tareas proyecto completo, informes técnicos.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V4-V5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2022-2023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Dentro de Base EDRO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Ingeniero virtual, vida útil, comunidad, interoperabilidad de agentes.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CEREBRO fases 2/3, Cervera segunda presentación 2022.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OS V6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2023-09/07/2026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1.670.000,00 EUR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DPP, POI, NFT/activos digitales, modelo financiero, GIS, Project Room, Market OS, Connectors, lectores/neuronas.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Benefits OS, Logistik, iPath y criterio de dirección.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4. Paquetes de producto e inversión atribuida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Periodo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Versión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Paquete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Valor asignado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Peso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Base documental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2012/13-2018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Pre-EDRO V0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Concepto, mecanicas y sistema base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148.750,00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3,53%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Asignacion direccion; know-how conceptual previo a memorias CDTI/Cervera.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2012/13-2018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Pre-EDRO V0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Arquitectura, ingenieria y geometria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127.500,00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3,02%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Asignacion direccion; base tecnica que luego aparece en placa, DfMA y despiece.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2012/13-2018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Pre-EDRO V0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Diseño paramétrico y algoritmia inicial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85.000,00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2,02%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Asignacion direccion; primer algoritmo y reglas geométricas.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2012/13-2018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Pre-EDRO V0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Apps iniciales, lectura y validacion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63.750,00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1,51%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Asignacion direccion; apps de lectura y pruebas tempranas.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Comunidad, perfiles y marketplace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471.560,36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11,18%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Montaje automatizado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372.077,20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8,82%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Vida util, datos y circularidad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319.564,50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7,58%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 V1/V2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Sistema ciberfisico y nucleo parametrico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273.326,40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6,48%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Ingeniero virtual y calculo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261.964,80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6,21%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Transporte distribuido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171.570,93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4,07%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Fabricacion automatizada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148.213,04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3,52%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2019-2022/23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EDRO/CEREBRO V3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Almacenaje automatizado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102.897,47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2,44%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Base EDRO con Operativa v6; matriz CEREBRO por fases; CDTI, Tax Lease, Leyton y Cervera.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2023-actualidad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OS V6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Modelo financiero, NFT y activos digitales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334.000,00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7,92%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Asignacion direccion; Benefits OS, iPath OS, Logistik: financiacion por hitos, NFT, activo digital, DPP.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2023-actualidad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OS V6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DPP, POI, trazabilidad y pasaporte digital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300.600,00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7,13%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Benefits OS Global: DPP + POI; Logistik: cierre documental, Audit Trail Pack; iPath: activo urbano auditable.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2023-actualidad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Designer / Project Room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Plataforma de diseño, Project Room y producto digital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283.900,00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6,73%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Benefits OS Global: CUEVA Designer, Project Room, Market/White label.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2023-actualidad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Connectors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Manager, CRM e interfaces de agentes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233.800,00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5,55%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Logistik: Connector, cuestionarios, agentes de mercado; Benefits OS: perfiles/agentes, licencias y connectors.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2023-actualidad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Factory/Warehouse/Site OS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GIS, logística y operación factory-to-site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200.400,00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4,75%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Logistik: Factory Core, Packing, mapa de trazabilidad; Benefits OS: API + GIS, warehouse, transporte.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2023-actualidad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Neurons / POI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Lectores, neuronas fijas/portátiles y comunicaciones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200.400,00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4,75%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Logistik: neuronas IoT, lectores, timestamp, geoposicion; Cervera: IoT, Bluetooth, WiFi, Zigbee, microservicios.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2023-actualidad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Market OS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Marca, webs, marketing y comercialización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116.900,00 EUR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2,77%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HTMLs de Benefits OS, Logistik e iPath; paquetes comerciales, beneficios, propuestas por agente y white label.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5. Evidencias CDTI, Tax Lease y Cervera</w:t>
      </w:r>
    </w:p>
    <w:p>
      <w:pPr>
        <w:spacing w:after="120" w:line="264" w:lineRule="auto"/>
      </w:pPr>
      <w:r>
        <w:t>La documentación pública/financiera y de I+D refuerza la tesis técnica, pero se mantiene separada de la suma de inversión para evitar doble conteo.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Fuente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Importe/alcance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Hitos o paquetes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Uso en valoración v2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CDTI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Presupuesto proyecto 998.842,09 EUR; ayuda aprobada 849.015,78 EUR no dispuesta.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Sistema constructivo paramétrico y reutilizable; Hito 1 15/06/2020-14/06/2021; placa, DfMA, maquinaria, ensayos.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Validación externa de I+D física/paramétrica. No deuda.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Tax Lease Leyton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Coste proyecto 2.022.296,00 EUR.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PLACASEDRO; diseño y desarrollo integral de placas modulares inteligentes.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Evidencia de placa/sistema físico, fabricación y montaje. No se suma como caja.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Tax Lease Arcano/CEREBRO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Coste proyecto 5.724.400,00 EUR; CEREBRO por fases 6.408.402,00 EUR.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Sistema ciberfísico, fabricación, almacenaje, transporte, montaje, ingeniero virtual, vida útil, comunidad.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Matriz principal para repartir la Base EDRO con Operativa.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Cervera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Presupuesto borrador fase 1 837.880,00 EUR.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Infraestructura de datos, software, IoT, fabricación inteligente, despiece/cálculo, blockchain, microservicios, React, comunicaciones, firmware, ciberseguridad.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Puente técnico entre EDRO 4.0 y CUEVA OS; evidencia de continuidad software/comunicaciones.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6. Capa actual CUEVA OS</w:t>
      </w:r>
    </w:p>
    <w:p>
      <w:pPr>
        <w:spacing w:after="120" w:line="264" w:lineRule="auto"/>
      </w:pPr>
      <w:r>
        <w:t>Los HTML actuales funcionan como documentos de producto y mercado: no solo explican beneficios, sino que ya organizan el producto en módulos, paquetes, flujos y agentes. Esta capa convierte el desarrollo EDRO en una arquitectura explotable por terceros.</w:t>
      </w:r>
    </w:p>
    <w:p>
      <w:r>
        <w:drawing>
          <wp:inline xmlns:a="http://schemas.openxmlformats.org/drawingml/2006/main" xmlns:pic="http://schemas.openxmlformats.org/drawingml/2006/picture">
            <wp:extent cx="5943600" cy="3328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2_cueva_os_paquetes_actu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Documento producto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Módulos/paquetes identificados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Lectura de inversión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Benefits OS Global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Designer, Factory OS, Warehouse OS, Site OS, POI, DPP, Project Room, Market OS, Connectors; 16 módulos y 7 paquetes.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Sistema operativo global para convertir diseño, fabricación, logística y montaje en datos, evidencias y explotación.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Logistik Carta de Capacidades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Neuronas IoT, Factory Core, almacén digital, packing/transporte, POI/DPP, Connector, Audit Trail, garantías/postventa, agentes de mercado.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Implementación industrial/comercial concreta: fábrica, logística, obra, documentación, financiación y mercado.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CUEVA iPath Benefits OS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Activo urbano, Proof of Installation, DPP, mantenimiento, ciudadanía, circularidad, financiación pública, 8 paquetes activables y 10 flujos.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Verticalización urbana: convierte el sistema en infraestructura pública auditable y operable.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7. Marketing, marca, webs y activos comerciales</w:t>
      </w:r>
    </w:p>
    <w:p>
      <w:pPr>
        <w:spacing w:after="120" w:line="264" w:lineRule="auto"/>
      </w:pPr>
      <w:r>
        <w:t>La inversión actual no debe limitarse a software de producto. Los documentos analizados muestran una capa de marca, narrativa comercial, interfaces interactivas, beneficios por agente, paquetes vendibles, white label, cartas de capacidades y herramientas de diagnóstico. Esto es desarrollo de go-to-market y de activo comercial.</w:t>
      </w:r>
    </w:p>
    <w:p>
      <w:pPr>
        <w:pStyle w:val="ListBullet"/>
        <w:spacing w:after="80"/>
      </w:pPr>
      <w:r>
        <w:t>Marca y arquitectura narrativa: transición EDRO/CUEVA y empaquetado del sistema como CUEVA OS.</w:t>
      </w:r>
    </w:p>
    <w:p>
      <w:pPr>
        <w:pStyle w:val="ListBullet"/>
        <w:spacing w:after="80"/>
      </w:pPr>
      <w:r>
        <w:t>Webs/documentos interactivos: Benefits OS, Logistik e iPath como herramientas de venta, onboarding y explicación técnica.</w:t>
      </w:r>
    </w:p>
    <w:p>
      <w:pPr>
        <w:pStyle w:val="ListBullet"/>
        <w:spacing w:after="80"/>
      </w:pPr>
      <w:r>
        <w:t>Paquetes comerciales: Discovery, Factory Core, Factory Flow, Site Proof, Market OS, Risk/Certification/Finance y Certified Operating System.</w:t>
      </w:r>
    </w:p>
    <w:p>
      <w:pPr>
        <w:pStyle w:val="ListBullet"/>
        <w:spacing w:after="80"/>
      </w:pPr>
      <w:r>
        <w:t>Producto por agente: promotor, constructor, administración, aseguradora, certificadora, financiador, marca de vivienda y operador integral.</w:t>
      </w:r>
    </w:p>
    <w:p>
      <w:pPr>
        <w:pStyle w:val="ListBullet"/>
        <w:spacing w:after="80"/>
      </w:pPr>
      <w:r>
        <w:t>Soporte de inversión: esta capa justifica parte de los 1,67 M EUR actuales como transformación del know-how técnico en producto comercializable.</w:t>
      </w:r>
    </w:p>
    <w:p>
      <w:pPr>
        <w:pStyle w:val="Heading1"/>
      </w:pPr>
      <w:r>
        <w:rPr>
          <w:rFonts w:ascii="Calibri" w:hAnsi="Calibri"/>
          <w:color w:val="2E74B5"/>
        </w:rPr>
        <w:t>8. Riesgos, pendientes y próximos 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Riesgo/punto pendiente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Impacto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Acción recomendada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Fase inicial y actual aún no conciliadas documento a documento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Un inversor puede pedir soporte contable granular.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Preparar anexo con facturas, nóminas, proveedores, contratos, pagos y repositorios por paquete.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Cervera y CDTI pueden parecer financiación sumable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Riesgo de duplicidad o sobrevaloración.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Mantenerlos como evidencia técnica/presupuestaria, no como pasivo ni ingreso.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HTML actuales son evidencia de producto, no contabilidad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Buen soporte de alcance, soporte económico indirecto.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Vincular cada HTML a horas/equipo/proveedores/iteraciones y coste.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Marketing y marca pueden parecer gasto no tecnológico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Puede discutirse su inclusión.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Explicarlo como productización, venta, interfaces, paquetes y activo comercial.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9. Análisis GPT</w:t>
      </w:r>
    </w:p>
    <w:p>
      <w:pPr>
        <w:spacing w:after="120" w:line="264" w:lineRule="auto"/>
      </w:pPr>
      <w:r>
        <w:t>La narrativa más robusta es defender CUEVA como continuidad evolutiva de EDRO, no como un producto desconectado. El hilo documental existe: placa y geometría base, sistema físico, CEREBRO, IoT/software/comunicaciones, trazabilidad, agentes, DPP/POI y explotación comercial.</w:t>
      </w:r>
    </w:p>
    <w:p>
      <w:pPr>
        <w:spacing w:after="120" w:line="264" w:lineRule="auto"/>
      </w:pPr>
      <w:r>
        <w:t>La cifra total de 4,216 M EUR es razonable como base de negociación si se presenta con tres niveles de evidencia. Nivel A: Base EDRO con Operativa documentada. Nivel B: presupuestos, memorias e hitos CDTI/Tax Lease/Cervera que validan alcance y coste de reposición. Nivel C: asignaciones de dirección para fase inicial y fase actual, apoyadas por documentos de producto, que requieren anexos contables para due diligence.</w:t>
      </w:r>
    </w:p>
    <w:p>
      <w:pPr>
        <w:spacing w:after="120" w:line="264" w:lineRule="auto"/>
      </w:pPr>
      <w:r>
        <w:t>La defensa ante inversor debería evitar vender los presupuestos de CDTI, Tax Lease o Cervera como valor adicional directo. Lo fuerte es que esos presupuestos son mayores que la base contable usada, lo que refuerza una tesis conservadora: se toma como valoración un coste acumulado menor o más prudente que el coste técnico de reproducción del sistema completo.</w:t>
      </w:r>
    </w:p>
    <w:p>
      <w:pPr>
        <w:pStyle w:val="Heading1"/>
      </w:pPr>
      <w:r>
        <w:rPr>
          <w:rFonts w:ascii="Calibri" w:hAnsi="Calibri"/>
          <w:color w:val="2E74B5"/>
        </w:rPr>
        <w:t>10. Bibliografía y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Tipo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Estado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3A5F"/>
                <w:sz w:val="17"/>
              </w:rPr>
              <w:t>Ubicación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outputs\inversion_desarrollo_base_edro_operativa_v1.docx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outputs\foto_base_deuda_edro_cueva_v6.docx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negocio\CDTI\MEMORIA CDTI\MEMORIA_130561 -cdti.docx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pdf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negocio\CDTI\JUSTIFICACION HITO 1\MEMORIA\PRESENTADAS\Anexo 1a. RESUMEN EJECUTIVO_JUSTIFICACION CDTI.vDEF.pdf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pdf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negocio\CDTI\JUSTIFICACION HITO 1\MEMORIA\PRESENTADAS\Anexo 1b. INFORME TECNICO_JUSTIFICACION CDTI.vDEF.pdf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pdf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negocio\CDTI\JUSTIFICACION HITO 1\MEMORIA\PRESENTADAS\MEMORIA_ECONOMICA_Hito_1_Firmado (12).pdf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xlsx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negocio\CDTI\PRESUPUESTO\PRESUPUESTO APROBADO.xlsx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xlsx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negocio\INVESREADY\TAX LEASE\ARCANO\Proyecto completo CEREBRO EDRO por fases.xlsx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xlsx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negocio\INVESREADY\TAX LEASE\RESUMEN TAX LEASE.xlsx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xlsx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negocio\ARCANO\Tareas proyecto completo.xlsx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negocio\LEYTON\Documentación oficial\1_ EDRO_ Memoria final Leyton_ Dalonit 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negocio\LEYTON\Documentación oficial\2_ EDRO_Analisis de riesgos _ DEFENSA MEMORIA.docx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negocio\CERVERA\1_PRESENTADOS 28_01_2021\Memorias finales\MEMORIA_CERVERA DEF 28_01_21.docx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negocio\CERVERA\1_PRESENTADOS 28_01_2021\Memorias finales\MEMORIA_CERVERA DEF_sinpresupuesto28_01_21.docx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negocio\CERVERA\1_PRESENTADOS 28_01_2021\Memorias finales\EDRO FRACTAL SYSTEMS_INFORMACION EMPRESA v6.docx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pdf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negocio\CERVERA\1_PRESENTADOS 28_01_2021\Carta desdestimacion CERVERA21_10_29_ CARRECPROY_TP-20210046.pdf_.pdf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negocio\CERVERA\2_ SEGUNDA PRESENTACION 2022\2DA PRESENTACION_ EDRO FRACTAL SYSTEMS_INFORMACION EMPRESA v6.docx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xlsx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negocio\CERVERA\0 borradores\EDRO - Cervera - Presupuesto Detallado v3.xlsx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negocio\CERVERA\0 borradores\Técnico\Cervera_Hito1.docx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docx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negocio\CERVERA\0 borradores\Técnico\Descripción Técnica.docx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xlsx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error: TypeError: expected &lt;class 'openpyxl.styles.fills.Fill'&gt;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Desarrollo de negocio\CERVERA\0 borradores\Técnico\Tareas.xlsx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outputs\investment_development_v2\CUEVA_Benefits_OS_Global_V6_FinalDesign.html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outputs\investment_development_v2\CUEVA_Logistik_Carta_de_Capacidades_V11_Mercado_Corregido.html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html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outputs\investment_development_v2\CUEVA_iPath_Benefits_OS_V4_Interactivo.html</w:t>
            </w:r>
          </w:p>
        </w:tc>
      </w:tr>
    </w:tbl>
    <w:p>
      <w:pPr>
        <w:spacing w:after="120" w:line="264" w:lineRule="auto"/>
      </w:pPr>
      <w:r>
        <w:t>Archivos de soporte generados: source_manifest_v2.csv, source_snippets_v2.csv, xlsx_keyword_hits_v2.csv y gráficos en outputs/investment_development_v2/visuals.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