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eva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color w:val="0B1F33"/>
          <w:sz w:val="52"/>
        </w:rPr>
        <w:t>CUEVA</w:t>
        <w:br/>
        <w:t>BUSINESS PLAN DEFINITIVO</w:t>
      </w:r>
    </w:p>
    <w:p>
      <w:pPr>
        <w:jc w:val="left"/>
      </w:pPr>
      <w:r>
        <w:rPr>
          <w:rFonts w:ascii="Arial" w:hAnsi="Arial"/>
          <w:color w:val="159A76"/>
          <w:sz w:val="30"/>
        </w:rPr>
        <w:t>Sistema Operativo del Activo Construido Verificable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Documento para posibles interesados cualificados. Integra valor actual de referencia, exposición del proyecto y producto, líneas de negocio, plan 300K, plan CUEVA Total 2030, modelo financiero validado y arquitectura de ejecución por gates.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28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Cifra / tesis</w:t>
            </w:r>
          </w:p>
        </w:tc>
        <w:tc>
          <w:tcPr>
            <w:tcW w:type="dxa" w:w="460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r>
              <w:t>Valor actual de referencia</w:t>
            </w:r>
            <w:r>
              <w:rPr>
                <w:rFonts w:ascii="Arial" w:hAnsi="Arial"/>
                <w:b w:val="0"/>
                <w:color w:val="26323F"/>
                <w:sz w:val="16"/>
              </w:rPr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4.216.174,70 €</w:t>
            </w:r>
          </w:p>
        </w:tc>
        <w:tc>
          <w:tcPr>
            <w:tcW w:type="dxa" w:w="4608"/>
            <w:vAlign w:val="center"/>
            <w:shd w:fill="F7F9FB"/>
          </w:tcPr>
          <w:p>
            <w:r>
              <w:t>Base construida por inversión acumulada, familias técnicas y producto actual.</w:t>
            </w:r>
            <w:r>
              <w:rPr>
                <w:rFonts w:ascii="Arial" w:hAnsi="Arial"/>
                <w:b w:val="0"/>
                <w:color w:val="26323F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r>
              <w:t>Hub Valeriano</w:t>
            </w:r>
          </w:p>
        </w:tc>
        <w:tc>
          <w:tcPr>
            <w:tcW w:type="dxa" w:w="2880"/>
            <w:vAlign w:val="center"/>
          </w:tcPr>
          <w:p>
            <w:r>
              <w:t>66.400 €</w:t>
            </w:r>
          </w:p>
        </w:tc>
        <w:tc>
          <w:tcPr>
            <w:tcW w:type="dxa" w:w="4608"/>
            <w:vAlign w:val="center"/>
          </w:tcPr>
          <w:p>
            <w:r>
              <w:t>Compra reducción de riesgo: equipo, producto, comercialización, hub y cierres operativos.</w:t>
            </w:r>
            <w:r>
              <w:rPr>
                <w:rFonts w:ascii="Arial" w:hAnsi="Arial"/>
                <w:b w:val="0"/>
                <w:color w:val="26323F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Plan 2027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1,67 M€ ingresos base / 1,104 M€ ponderado</w:t>
            </w:r>
          </w:p>
        </w:tc>
        <w:tc>
          <w:tcPr>
            <w:tcW w:type="dxa" w:w="46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Pipeline reconstruido con un solo KIWA/RMOOB y fees de red por m².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Escala 2030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188,9 M€ ingresos / 110,4 M€ EBITDA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Scale Case condicionado a capital, red de partners, m² y stock vivo.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Valor 2030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1.599,8 M€ EV midpoint</w:t>
            </w:r>
          </w:p>
        </w:tc>
        <w:tc>
          <w:tcPr>
            <w:tcW w:type="dxa" w:w="46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Triangulación por ingresos y EBITDA, contrastada con SOTP.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ver_kp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0. Tesis ejecutiva de cifras y lectura correcta del BP.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B1F33"/>
        </w:rPr>
        <w:t>Mapa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Parte</w:t>
            </w:r>
          </w:p>
        </w:tc>
        <w:tc>
          <w:tcPr>
            <w:tcW w:type="dxa" w:w="432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432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Decisión que permite</w:t>
            </w:r>
          </w:p>
        </w:tc>
      </w:tr>
      <w:tr>
        <w:tc>
          <w:tcPr>
            <w:tcW w:type="dxa" w:w="10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I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Tesis, categoría, problema y oportunidad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Entender qué es CUEVA y por qué existe ahora.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II</w:t>
            </w:r>
          </w:p>
        </w:tc>
        <w:tc>
          <w:tcPr>
            <w:tcW w:type="dxa" w:w="4320"/>
            <w:vAlign w:val="center"/>
          </w:tcPr>
          <w:p>
            <w:r>
              <w:t>Activo construido e inversión acumulada</w:t>
            </w:r>
            <w:r>
              <w:rPr>
                <w:rFonts w:ascii="Arial" w:hAnsi="Arial"/>
                <w:b w:val="0"/>
                <w:color w:val="26323F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Defender la valoración de partida sin basarla en caja futura.</w:t>
            </w:r>
          </w:p>
        </w:tc>
      </w:tr>
      <w:tr>
        <w:tc>
          <w:tcPr>
            <w:tcW w:type="dxa" w:w="10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III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Producto, arquitectura y líneas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Ver que el activo es producto modular, no solo relato tecnológico.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IV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Modelo de negocio y unit economics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Separar pagador, trigger, calidad de ingreso y margen.</w:t>
            </w:r>
          </w:p>
        </w:tc>
      </w:tr>
      <w:tr>
        <w:tc>
          <w:tcPr>
            <w:tcW w:type="dxa" w:w="10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Plan 300K y 2027</w:t>
            </w:r>
          </w:p>
        </w:tc>
        <w:tc>
          <w:tcPr>
            <w:tcW w:type="dxa" w:w="4320"/>
            <w:vAlign w:val="center"/>
            <w:shd w:fill="F7F9FB"/>
          </w:tcPr>
          <w:p>
            <w:r>
              <w:t>Identificar qué activa el tramo inmediato y con qué gates.</w:t>
            </w:r>
            <w:r>
              <w:rPr>
                <w:rFonts w:ascii="Arial" w:hAnsi="Arial"/>
                <w:b w:val="0"/>
                <w:color w:val="26323F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Plan CUEVA Total 2030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Diferenciar plan obligatorio de Scale Case condicionado.</w:t>
            </w:r>
          </w:p>
        </w:tc>
      </w:tr>
      <w:tr>
        <w:tc>
          <w:tcPr>
            <w:tcW w:type="dxa" w:w="100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VII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Valoración, riesgos y operación inversora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Aterrizar rango, hitos, riesgos y documentación de soporte.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F33"/>
        </w:rPr>
        <w:t>1. Resumen ejecutivo y tesis de inversión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CUEVA es la evolución de más de una década de desarrollo técnico, industrial, digital y comercial: un Sistema Operativo del Activo Construido Verificable que convierte diseño, fabricación, logística, montaje, evidencia, documentación y operación en una red de activos vivos, identificados y explotables.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tesis de inversión se articula en tres niveles encadenados por hitos verificables. Primero, un valor actual de referencia de 4.216.174,70 €, construido por inversión acumulada y activo técnico-producto. Segundo, un plan inmediato de 300.000 € para convertir ese activo en compañía comercializable, medible y financiable. Tercero, un plan CUEVA Total 2030 que escala la red si se cumplen los gates de producto, contratos, caja, partners y capital.</w:t>
      </w:r>
    </w:p>
    <w:p>
      <w:pPr>
        <w:spacing w:line="271" w:lineRule="auto" w:after="120"/>
      </w:pPr>
      <w:r>
        <w:rPr>
          <w:rFonts w:ascii="Arial" w:hAnsi="Arial"/>
          <w:b/>
          <w:color w:val="0B1F33"/>
          <w:sz w:val="20"/>
        </w:rPr>
        <w:t>No vendemos una promesa de 1.000 M€. Mensaje de lectura.</w:t>
      </w:r>
      <w:r>
        <w:rPr>
          <w:rFonts w:ascii="Arial" w:hAnsi="Arial"/>
          <w:color w:val="26323F"/>
          <w:sz w:val="20"/>
        </w:rPr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Vendemos una compañía con valor actual de referencia de 4,216 M€, un plan 300K para alcanzar una posición 2027 mucho más robusta y una opción real de escala 2030 que solo se desbloquea si los hitos se cumplen. El capital inmediato no compra el escenario unicornio; compra la opción verificable de construirlo.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sset_os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1. CUEVA como capa operativa continua sobre el activo físico.</w:t>
      </w:r>
    </w:p>
    <w:p>
      <w:pPr>
        <w:pStyle w:val="Heading1"/>
      </w:pPr>
      <w:r>
        <w:rPr>
          <w:rFonts w:ascii="Arial" w:hAnsi="Arial"/>
          <w:color w:val="0B1F33"/>
        </w:rPr>
        <w:t>2. Qué es CUEVA y qué no 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CUEVA es</w:t>
            </w:r>
          </w:p>
        </w:tc>
        <w:tc>
          <w:tcPr>
            <w:tcW w:type="dxa" w:w="4680"/>
            <w:vAlign w:val="center"/>
            <w:shd w:fill="0B1F33"/>
          </w:tcPr>
          <w:p>
            <w:r>
              <w:t>CUEVA no debe presentarse como</w:t>
            </w:r>
            <w:r>
              <w:rPr>
                <w:rFonts w:ascii="Arial" w:hAnsi="Arial"/>
                <w:b/>
                <w:color w:val="FFFFFF"/>
                <w:sz w:val="16"/>
              </w:rPr>
            </w:r>
          </w:p>
        </w:tc>
      </w:tr>
      <w:tr>
        <w:tc>
          <w:tcPr>
            <w:tcW w:type="dxa" w:w="46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Una red de activos construidos identificados, probados y operables.</w:t>
            </w:r>
          </w:p>
        </w:tc>
        <w:tc>
          <w:tcPr>
            <w:tcW w:type="dxa" w:w="46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Una constructora tradicional con margen de obra.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Una capa de identidad, POI, DPP, datos, mantenimiento y financiación futura.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 software genérico de gestión de obra.</w:t>
            </w:r>
          </w:p>
        </w:tc>
      </w:tr>
      <w:tr>
        <w:tc>
          <w:tcPr>
            <w:tcW w:type="dxa" w:w="46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 sistema de industrialización, evidencia y gobernanza físico-digital.</w:t>
            </w:r>
          </w:p>
        </w:tc>
        <w:tc>
          <w:tcPr>
            <w:tcW w:type="dxa" w:w="46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 claim abstracto de plataforma universal sin foco.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 modelo con implementación, activación, evidencia, licencias, datos y stock vivo.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Un royalty industrial opaco cargado al partner.</w:t>
            </w:r>
          </w:p>
        </w:tc>
      </w:tr>
    </w:tbl>
    <w:p/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categoría correcta es Evidence-Verified Construction Asset OS: infraestructura de emisión, prueba y operación de activos construidos. El núcleo no es fabricar; es convertir cada pieza, lote, m², instalación, mantenimiento, reposición y evento de vida útil en evidencia explotable por clientes, administraciones, financiadores, aseguradoras, certificadoras, licenciatarios y operadores.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lógica del volumen es simple: el m² es el combustible, la evidencia es el margen, el stock vivo es el multiplicador y los servicios de datos/operación son la opción de breakout. CUEVA escala porque cada metro construido entra en una red de evidencia, mantenimiento, datos y servicios.</w:t>
      </w:r>
    </w:p>
    <w:p>
      <w:pPr>
        <w:pStyle w:val="Heading1"/>
      </w:pPr>
      <w:r>
        <w:rPr>
          <w:rFonts w:ascii="Arial" w:hAnsi="Arial"/>
          <w:color w:val="0B1F33"/>
        </w:rPr>
        <w:t>3. Contexto sectorial y momento regulatorio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sector está entrando en una etapa donde la trazabilidad, los datos de producto, la circularidad, el mantenimiento y la documentación verificable dejan de ser elementos accesorios. CUEVA llega con POI, DPP, Asset ID, workflows y Carpeta Madre como producto, no como promesa a desarrollar desde cero.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Viento de cola</w:t>
            </w:r>
          </w:p>
        </w:tc>
        <w:tc>
          <w:tcPr>
            <w:tcW w:type="dxa" w:w="259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489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Lectura para CUEVA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Data Act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Reglamento (UE) 2023/2854</w:t>
            </w:r>
          </w:p>
        </w:tc>
        <w:tc>
          <w:tcPr>
            <w:tcW w:type="dxa" w:w="489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Aplicable desde 12/09/2025; obligación de diseño de acceso a datos para productos conectados desde 12/09/2026.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ESPR / ecodiseño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Reglamento (UE) 2024/1781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Marco para requisitos de sostenibilidad y pasaporte digital de producto mediante actos delegados por grupos de producto.</w:t>
            </w:r>
          </w:p>
        </w:tc>
      </w:tr>
    </w:tbl>
    <w:p/>
    <w:p>
      <w:pPr>
        <w:spacing w:after="100"/>
        <w:ind w:left="216"/>
      </w:pPr>
      <w:r>
        <w:rPr>
          <w:rFonts w:ascii="Arial" w:hAnsi="Arial"/>
          <w:i/>
          <w:color w:val="667085"/>
          <w:sz w:val="17"/>
        </w:rPr>
        <w:t>Fuentes oficiales consultadas: EUR-Lex/Data Act y EUR-Lex/ESPR. Los claims regulatorios concretos deben revisarse siempre antes de usarse en contrato o material comercial.</w:t>
      </w:r>
    </w:p>
    <w:p>
      <w:pPr>
        <w:pStyle w:val="Heading1"/>
      </w:pPr>
      <w:r>
        <w:rPr>
          <w:rFonts w:ascii="Arial" w:hAnsi="Arial"/>
          <w:color w:val="0B1F33"/>
        </w:rPr>
        <w:t>4. Valoración de partida: 4.216.174,70 €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valoración actual no descansa en previsiones de caja. Descansa en coste de construcción de activo, profundidad técnica, presupuestos externos de I+D, aprendizaje acumulado, producto modular, casos y relaciones. Se formula como valor de referencia razonado, no como tasación independiente.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lectura se organiza en tres etapas: fundación conceptual 2012/13-2018; desarrollo EDRO/CEREBRO 2019-2022/23; productización CUEVA OS desde 2023. La clave no es mostrar una cifra agregada, sino explicar qué capacidad concreta se creó y cómo se monetiza hoy.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vestment_famil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2. Inversión acumulada por familias técnicas y TRL de lectura actual.</w:t>
      </w:r>
    </w:p>
    <w:p>
      <w:pPr>
        <w:pStyle w:val="Heading2"/>
      </w:pPr>
      <w:r>
        <w:rPr>
          <w:rFonts w:ascii="Arial" w:hAnsi="Arial"/>
          <w:color w:val="0B1F33"/>
        </w:rPr>
        <w:t>4.1. Familias técnicas de inversión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Familia</w:t>
            </w:r>
          </w:p>
        </w:tc>
        <w:tc>
          <w:tcPr>
            <w:tcW w:type="dxa" w:w="136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Periodo</w:t>
            </w:r>
          </w:p>
        </w:tc>
        <w:tc>
          <w:tcPr>
            <w:tcW w:type="dxa" w:w="1440"/>
            <w:vAlign w:val="center"/>
            <w:shd w:fill="0B1F33"/>
          </w:tcPr>
          <w:p>
            <w:r>
              <w:t>Inversión</w:t>
            </w:r>
            <w:r>
              <w:rPr>
                <w:rFonts w:ascii="Arial" w:hAnsi="Arial"/>
                <w:b/>
                <w:color w:val="FFFFFF"/>
                <w:sz w:val="14"/>
              </w:rPr>
            </w:r>
          </w:p>
        </w:tc>
        <w:tc>
          <w:tcPr>
            <w:tcW w:type="dxa" w:w="72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TRL</w:t>
            </w:r>
          </w:p>
        </w:tc>
        <w:tc>
          <w:tcPr>
            <w:tcW w:type="dxa" w:w="446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Lectura de producto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Fundación técnica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2012/13-2018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425.000,00 €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Reglas de dominio, geometría, mecánicas, arquitectura y método base.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Sistema físico + DfMA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2019-2022/23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273.326,40 €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Sistema reproducible, prototipos, industrialización inicial e identidad pieza-activo.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CEREBRO + software/datos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2019-2022/23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375.000,00 €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Núcleo de plataforma, modelo de datos, API, seguridad y workflows.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IoT + comunicaciones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2019-2022/23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180.000,00 €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Captura de estados, eventos y conexión físico-digital.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Operativa industrial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2019-2022/23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794.758,65 €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Factory OS, Warehouse OS, Factory Flow, Site OS y procedimientos de ejecución.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Ingeniero virtual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2021-2023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261.964,80 €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Reglas, modelos y asistencia técnica CAD/BIM/cálculo.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Vida + comunidad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2021-2023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236.124,85 €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Mantenimiento, permisos, circularidad, postventa y comunidad.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DPP / pasaporte digital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220.000,00 €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Carpeta Madre, historial vivo y trazabilidad explotable del activo.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POI / prueba de instalación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190.000,00 €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Evidencia de instalación, recepción, responsable, regla y audit trail.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Activos digitales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260.000,00 €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5/9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Gemelo digital, metadatos, derechos, tokenización y servicios transaccionales futuros.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Designer + vivienda generativa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255.000,00 €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Motor de alternativas, reglas, familias constructivas y generación vía API.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GIS + capa territorial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150.000,00 €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iPath, geolocalización, rutas, activos urbanos y analítica territorial.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Manager + Project Room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210.000,00 €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Coordinación multiagente, permisos, estado, decisión y entrega.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Neuronas + apps de lectura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170.000,00 €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Captura de campo por QR/NFC/chip, apps, lectores y eventos.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Market OS + activos comerciales</w:t>
            </w:r>
          </w:p>
        </w:tc>
        <w:tc>
          <w:tcPr>
            <w:tcW w:type="dxa" w:w="13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2023-2026</w:t>
            </w:r>
          </w:p>
        </w:tc>
        <w:tc>
          <w:tcPr>
            <w:tcW w:type="dxa" w:w="144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215.000,00 €</w:t>
            </w:r>
          </w:p>
        </w:tc>
        <w:tc>
          <w:tcPr>
            <w:tcW w:type="dxa" w:w="7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8/9</w:t>
            </w:r>
          </w:p>
        </w:tc>
        <w:tc>
          <w:tcPr>
            <w:tcW w:type="dxa" w:w="446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Oferta modular, Benefits OS, carta de servicios, white label y canal.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B1F33"/>
        </w:rPr>
        <w:t>4.2. Benchmarks externos de alcance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Origen</w:t>
            </w:r>
          </w:p>
        </w:tc>
        <w:tc>
          <w:tcPr>
            <w:tcW w:type="dxa" w:w="180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Presupuesto / alcance</w:t>
            </w:r>
          </w:p>
        </w:tc>
        <w:tc>
          <w:tcPr>
            <w:tcW w:type="dxa" w:w="338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Qué valida</w:t>
            </w:r>
          </w:p>
        </w:tc>
        <w:tc>
          <w:tcPr>
            <w:tcW w:type="dxa" w:w="28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Límite de uso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CDTI</w:t>
            </w:r>
          </w:p>
        </w:tc>
        <w:tc>
          <w:tcPr>
            <w:tcW w:type="dxa" w:w="180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998.842,09 €</w:t>
            </w:r>
          </w:p>
        </w:tc>
        <w:tc>
          <w:tcPr>
            <w:tcW w:type="dxa" w:w="338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Sistema físico, placa, DfMA, prototipos, ensayos y maquinaria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Referencia técnica de alcance; no financiación recibida ni obligación de devolución.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Cervera fase 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837.880,00 €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Datos, software, IoT, fabricación inteligente, despiece y cálculo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Contraste de complejidad; no valoración independiente.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Tax Lease Leyton</w:t>
            </w:r>
          </w:p>
        </w:tc>
        <w:tc>
          <w:tcPr>
            <w:tcW w:type="dxa" w:w="180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2.022.296,00 €</w:t>
            </w:r>
          </w:p>
        </w:tc>
        <w:tc>
          <w:tcPr>
            <w:tcW w:type="dxa" w:w="338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Desarrollo integral de placas modulares inteligentes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Presupuesto técnico; no ingreso supuesto.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Tax Lease Arcano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5.724.400,00 €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Proyecto CEREBRO por fases y cadena industrial completa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Orden de magnitud de reproducción; no equity value.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CEREBRO por fases</w:t>
            </w:r>
          </w:p>
        </w:tc>
        <w:tc>
          <w:tcPr>
            <w:tcW w:type="dxa" w:w="180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6.408.402,00 €</w:t>
            </w:r>
          </w:p>
        </w:tc>
        <w:tc>
          <w:tcPr>
            <w:tcW w:type="dxa" w:w="338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Sistema ciberfísico, fábrica, almacén, transporte, montaje, vida y comunidad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Mapa de alcance superado por la productización actual.</w:t>
            </w:r>
          </w:p>
        </w:tc>
      </w:tr>
    </w:tbl>
    <w:p/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lectura prudente es potente: la inversión de referencia queda por debajo de varios presupuestos técnicos externos que validan complejidad y alcance. Aun así, esos presupuestos se usan como triangulación de reproducción y no como valor de mercado ni como caja efectivamente recibida.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10_puente_inversion_producto_ingres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3. Puente entre inversión acumulada, activo actual y motores de monetización.</w:t>
      </w:r>
    </w:p>
    <w:p>
      <w:pPr>
        <w:pStyle w:val="Heading1"/>
      </w:pPr>
      <w:r>
        <w:rPr>
          <w:rFonts w:ascii="Arial" w:hAnsi="Arial"/>
          <w:color w:val="0B1F33"/>
        </w:rPr>
        <w:t>5. Producto: arquitectura CUEVA OS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producto se construye por capas. Cada capa tiene función técnica, pagador potencial, trigger económico y evidencia de entrega. Esa modularidad permite entrar por P0/P1/P3 sin exigir al cliente adoptar todo el sistema desde el primer día.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roduct_portfol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4. Portfolio de producto sobre un núcleo común de Asset 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Capa</w:t>
            </w:r>
          </w:p>
        </w:tc>
        <w:tc>
          <w:tcPr>
            <w:tcW w:type="dxa" w:w="453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Función</w:t>
            </w:r>
          </w:p>
        </w:tc>
        <w:tc>
          <w:tcPr>
            <w:tcW w:type="dxa" w:w="28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Monetización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Identity Layer</w:t>
            </w:r>
          </w:p>
        </w:tc>
        <w:tc>
          <w:tcPr>
            <w:tcW w:type="dxa" w:w="453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Asset ID, UID/chip por pieza, relación pieza-lote-proyecto-stock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Physical Enablement, Asset Activation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Evidence Layer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POI, fotos, firmas, estados, recepción, no conformidades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POI Evidence Pack, Site Proof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Documentation Layer</w:t>
            </w:r>
          </w:p>
        </w:tc>
        <w:tc>
          <w:tcPr>
            <w:tcW w:type="dxa" w:w="453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DPP, Carpeta Madre, certificados, garantías y dossier vivo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DPP setup + módulos compliance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Workflow Layer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OS, Site OS, Warehouse OS, Project Room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Paquetes P0-P5, licencias partner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Operating Layer</w:t>
            </w:r>
          </w:p>
        </w:tc>
        <w:tc>
          <w:tcPr>
            <w:tcW w:type="dxa" w:w="453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Mantenimiento, incidencias, garantías, SLA y reposiciones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Network Maintenance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Data Layer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APIs, reporting, permisos, ESG, circularidad y datos de riesgo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Data Layers, contratos enterprise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Intelligence / AI</w:t>
            </w:r>
          </w:p>
        </w:tc>
        <w:tc>
          <w:tcPr>
            <w:tcW w:type="dxa" w:w="453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Designer generativo, ingeniero virtual, GIS, agentes y alertas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Módulos premium y productividad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B1F33"/>
        </w:rPr>
        <w:t>5.1. Paquetes P0-P5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Paquete</w:t>
            </w:r>
          </w:p>
        </w:tc>
        <w:tc>
          <w:tcPr>
            <w:tcW w:type="dxa" w:w="432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Descriptiva técnica</w:t>
            </w:r>
          </w:p>
        </w:tc>
        <w:tc>
          <w:tcPr>
            <w:tcW w:type="dxa" w:w="30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Entregable / gate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P0 Discovery &amp; Blueprint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Diagnóstico de proceso, actores, datos, planta/proyecto, baseline y business case.</w:t>
            </w:r>
          </w:p>
        </w:tc>
        <w:tc>
          <w:tcPr>
            <w:tcW w:type="dxa" w:w="30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Mapa de flujo, ROI, backlog, pricing y gate de piloto.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P1 Factory Core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Digitalización de fabricación, Asset ID, comandas, QA, estados y liberación.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Planta con trazabilidad base y m² fabricado verificable.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P2 Warehouse &amp; Logistics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Stock, calles/plazas, packing, rutas, expedición, recepción y continuidad lote-proyecto.</w:t>
            </w:r>
          </w:p>
        </w:tc>
        <w:tc>
          <w:tcPr>
            <w:tcW w:type="dxa" w:w="30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Cadena física reconciliada hasta obra.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P3 Site Proof / POI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Recepción, montaje, cuadrillas, reglas de cierre, evidencia y no conformidades.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Prueba física de instalación auditable.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P4 DPP / Carpeta Madre</w:t>
            </w:r>
          </w:p>
        </w:tc>
        <w:tc>
          <w:tcPr>
            <w:tcW w:type="dxa" w:w="43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Documentación viva del activo, certificados, garantías, mantenimiento y cambios.</w:t>
            </w:r>
          </w:p>
        </w:tc>
        <w:tc>
          <w:tcPr>
            <w:tcW w:type="dxa" w:w="30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Entrega documental estructurada por activo.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P5 Data / Risk / Market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Reporting, permisos, ESG, circularidad, marketplace, APIs y servicios de riesgo.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Recurrencia sobre stock vivo y datos reutilizables.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F33"/>
        </w:rPr>
        <w:t>6. Líneas de producto y verticales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CUEVA Total no es una línea única. Es un conjunto de productos y verticales que comparten identidad, evidencia y datos. La ventaja competitiva está en que cada nueva vertical reutiliza el núcleo y añade vocabulario comercial específico.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Línea</w:t>
            </w:r>
          </w:p>
        </w:tc>
        <w:tc>
          <w:tcPr>
            <w:tcW w:type="dxa" w:w="331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Qué vende</w:t>
            </w:r>
          </w:p>
        </w:tc>
        <w:tc>
          <w:tcPr>
            <w:tcW w:type="dxa" w:w="223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Cliente / pagador</w:t>
            </w:r>
          </w:p>
        </w:tc>
        <w:tc>
          <w:tcPr>
            <w:tcW w:type="dxa" w:w="194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Métrica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Factory / Partner Enablement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Digitalización de planta, procesos, Asset ID, QA y liberación.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Fabricante / licenciatario</w:t>
            </w:r>
          </w:p>
        </w:tc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m² de planta, setup, capacidad activada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Crew / Site Enablement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Digitalización de cuadrillas, recepción, montaje y prueba de avance.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Montador / integrador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cuadrillas, m² instalados, POI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POI Evidence Pack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Prueba física de instalación con identidad, responsable, regla y aceptación.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Promotor, AAPP, owner, certificador</w:t>
            </w:r>
          </w:p>
        </w:tc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m² verificados, eventos cerrados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DPP / Carpeta Madre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Pasaporte vivo con documentos, composición, cambios, garantías y mantenimiento.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Owner / sujeto obligado / operador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activo entregado, módulos de compliance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Designer + vivienda generativa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Diseño, alternativas paramétricas, reglas y generación automatizada vía API.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Arquitecto, promotor, partner</w:t>
            </w:r>
          </w:p>
        </w:tc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proyectos, m² diseñados, módulos premium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iPath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Infraestructura urbana industrializada con POI, DPP, mantenimiento y SLA.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AAPP, concesión, SPV, operador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tramos, disponibilidad, mantenimiento, datos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Moolde / circularidad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Pilotos y activos de economía circular, materiales y ciclo de vida.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Industria circular, marcas, administraciones</w:t>
            </w:r>
          </w:p>
        </w:tc>
        <w:tc>
          <w:tcPr>
            <w:tcW w:type="dxa" w:w="19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materiales, pilotos, reporte ESG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Market OS / Data / Finance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Canal, marketplace, APIs, riesgo, datos y servicios sobre stock vivo.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Partners, bancos, aseguradoras, owners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stock vivo, contratos enterprise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F33"/>
        </w:rPr>
        <w:t>7. Modelo de negocio CUEVA Total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CUEVA monetiza cinco momentos acumulativos: digitalización inicial, uso de red por m², activación de activo/proyecto, evidencia/documentación y servicios recurrentes sobre stock vivo. Cada cobro debe tener pagador, alcance, trigger, evidencia y política de reconocimiento propios.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Línea de ingreso</w:t>
            </w:r>
          </w:p>
        </w:tc>
        <w:tc>
          <w:tcPr>
            <w:tcW w:type="dxa" w:w="223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Pagador</w:t>
            </w:r>
          </w:p>
        </w:tc>
        <w:tc>
          <w:tcPr>
            <w:tcW w:type="dxa" w:w="28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20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Calidad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Licencia partner / connector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Fabricante, montador, operador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Acceso anual, certificación, capacidad</w:t>
            </w:r>
          </w:p>
        </w:tc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Recurrente / mínimo anual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Implementation P0-P5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Partner, promotor, AAPP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Contrato de implantación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Servicios con margen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Physical Enablement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Presupuesto de proyecto / integrador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m² emitido con alta técnica</w:t>
            </w:r>
          </w:p>
        </w:tc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One-shot por m²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Asset Activation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Cliente / proyecto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Proyecto entra en ejecución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One-shot por m²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POI Evidence Pack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Cliente, promotor, AAPP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Instalación verificada</w:t>
            </w:r>
          </w:p>
        </w:tc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One-shot / evento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DPP / Carpeta Madre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Propietario / sujeto regulado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Entrega documental viva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Setup + módulos</w:t>
            </w:r>
          </w:p>
        </w:tc>
      </w:tr>
      <w:tr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Network Maintenance</w:t>
            </w:r>
          </w:p>
        </w:tc>
        <w:tc>
          <w:tcPr>
            <w:tcW w:type="dxa" w:w="223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Owner / operador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Stock vivo activo</w:t>
            </w:r>
          </w:p>
        </w:tc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Recurrente sobre stock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Data Layers / API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Banco, seguro, certificadora, owner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Módulos de datos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Recurrente / enterprise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B1F33"/>
        </w:rPr>
        <w:t>7.1. Pricing y unit economics de 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Tarifa</w:t>
            </w:r>
          </w:p>
        </w:tc>
        <w:tc>
          <w:tcPr>
            <w:tcW w:type="dxa" w:w="295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Alcance</w:t>
            </w:r>
          </w:p>
        </w:tc>
        <w:tc>
          <w:tcPr>
            <w:tcW w:type="dxa" w:w="151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Precio</w:t>
            </w:r>
          </w:p>
        </w:tc>
        <w:tc>
          <w:tcPr>
            <w:tcW w:type="dxa" w:w="316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Regla comercial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Small</w:t>
            </w:r>
          </w:p>
        </w:tc>
        <w:tc>
          <w:tcPr>
            <w:tcW w:type="dxa" w:w="295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Hasta 5.000 m²</w:t>
            </w:r>
          </w:p>
        </w:tc>
        <w:tc>
          <w:tcPr>
            <w:tcW w:type="dxa" w:w="15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50.000 €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 cerrado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Growth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&gt;5.000 y &lt;20.000 m²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120.000 €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 cerrado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Scale</w:t>
            </w:r>
          </w:p>
        </w:tc>
        <w:tc>
          <w:tcPr>
            <w:tcW w:type="dxa" w:w="295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20.000 y &lt;50.000 m²</w:t>
            </w:r>
          </w:p>
        </w:tc>
        <w:tc>
          <w:tcPr>
            <w:tcW w:type="dxa" w:w="15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250.000 €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 cerrado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Enterprise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Desde 50.000 m²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400.000 €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Desde 400k; alcance por consultoría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Crew Starter</w:t>
            </w:r>
          </w:p>
        </w:tc>
        <w:tc>
          <w:tcPr>
            <w:tcW w:type="dxa" w:w="295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Hasta 2 cuadrillas de 4 operarios</w:t>
            </w:r>
          </w:p>
        </w:tc>
        <w:tc>
          <w:tcPr>
            <w:tcW w:type="dxa" w:w="15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35.000 €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 cerrado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Crew Scale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3 a 6 cuadrillas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75.000 €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Paquete cerrado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Crew Enterprise</w:t>
            </w:r>
          </w:p>
        </w:tc>
        <w:tc>
          <w:tcPr>
            <w:tcW w:type="dxa" w:w="295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Más de 6 cuadrillas</w:t>
            </w:r>
          </w:p>
        </w:tc>
        <w:tc>
          <w:tcPr>
            <w:tcW w:type="dxa" w:w="151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12.000 €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12k por cuadrilla; mínimo 75k</w:t>
            </w:r>
          </w:p>
        </w:tc>
      </w:tr>
    </w:tbl>
    <w:p/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modelo separa Fee de Red Fabricante (2.50 €/m²) y Fee de Red Montaje (2.50 €/m²). El fee combinado de referencia es 5.00 €/m² cuando aplican ambos triggers. No se presenta como royalty: son servicios de red asociados a fabricación e instalación verificadas.</w:t>
      </w:r>
    </w:p>
    <w:p>
      <w:pPr>
        <w:pStyle w:val="Heading1"/>
      </w:pPr>
      <w:r>
        <w:rPr>
          <w:rFonts w:ascii="Arial" w:hAnsi="Arial"/>
          <w:color w:val="0B1F33"/>
        </w:rPr>
        <w:t>8. Plan 300K: objetivo, uso de fondos y gates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plan 300K es el carril obligatorio. No financia toda la ambición 2030: estabiliza compañía, producto, equipo, salidas comerciales, hub, carpeta documental y primeros contratos. La disciplina es liberar fondos por entregables, no por etiquetas presupuestarias.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e_funds_300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5. Uso de fondos del tramo 300K según modelo V8 validado.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30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Bloque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Importe</w:t>
            </w:r>
          </w:p>
        </w:tc>
        <w:tc>
          <w:tcPr>
            <w:tcW w:type="dxa" w:w="64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%</w:t>
            </w:r>
          </w:p>
        </w:tc>
        <w:tc>
          <w:tcPr>
            <w:tcW w:type="dxa" w:w="316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216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Gate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Equipo base julio-diciembre 2026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114.600 €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38,2%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Continuidad directiva, producto, operaciones y comercial</w:t>
            </w:r>
          </w:p>
        </w:tc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Calendario mensual y roles definidos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Seguridad Social / cumplimiento laboral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18.000 €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6,0%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Provisiones laborales y regularización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Contrataciones formalizadas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Software / IT / telecom / IA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78.000 €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26,0%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CUEVA OS, DPP/POI, cloud, seguridad, demos y campo</w:t>
            </w:r>
          </w:p>
        </w:tc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Compra por hitos y necesidad de proyecto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Marketing y comunicación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18.000 €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6,0%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Web, deck, casos, CRM y lanzamiento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Producto demo estable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r>
              <w:t>Hub Valeriano</w:t>
            </w:r>
          </w:p>
        </w:tc>
        <w:tc>
          <w:tcPr>
            <w:tcW w:type="dxa" w:w="1224"/>
            <w:vAlign w:val="center"/>
            <w:shd w:fill="F7F9FB"/>
          </w:tcPr>
          <w:p>
            <w:r>
              <w:t>66.400 €</w:t>
            </w:r>
          </w:p>
        </w:tc>
        <w:tc>
          <w:tcPr>
            <w:tcW w:type="dxa" w:w="648"/>
            <w:vAlign w:val="center"/>
            <w:shd w:fill="F7F9FB"/>
          </w:tcPr>
          <w:p>
            <w:r>
              <w:t>22,1%</w:t>
            </w:r>
          </w:p>
        </w:tc>
        <w:tc>
          <w:tcPr>
            <w:tcW w:type="dxa" w:w="3168"/>
            <w:vAlign w:val="center"/>
            <w:shd w:fill="F7F9FB"/>
          </w:tcPr>
          <w:p>
            <w:r>
              <w:t>Hub Valeriano, showroom y nodo operativo Menorca</w:t>
            </w:r>
          </w:p>
        </w:tc>
        <w:tc>
          <w:tcPr>
            <w:tcW w:type="dxa" w:w="2160"/>
            <w:vAlign w:val="center"/>
            <w:shd w:fill="F7F9FB"/>
          </w:tcPr>
          <w:p>
            <w:r>
              <w:t>Acuerdo Valeriano y layout definido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Legal, auditoría, documentación y contingencia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5.000 €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1,7%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Blindaje documental y carpeta documental</w:t>
            </w:r>
          </w:p>
        </w:tc>
        <w:tc>
          <w:tcPr>
            <w:tcW w:type="dxa" w:w="21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Checklist audit-ready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F33"/>
        </w:rPr>
        <w:t>9. Plan 2027 y go-to-market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pipeline 2027 se reconstruye con criterio v10: un único KIWA/RMOOB de 400k, pricing de digitalización por tier real de planta, digitalización de montaje, fees de red por m² fabricados/instalados y separación entre management case y lectura ponderada.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ipeline_20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6. Pipeline 2027 base y ponderado por línea.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244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Proyecto / línea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Base 2027</w:t>
            </w:r>
          </w:p>
        </w:tc>
        <w:tc>
          <w:tcPr>
            <w:tcW w:type="dxa" w:w="64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Prob.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Ponderado</w:t>
            </w:r>
          </w:p>
        </w:tc>
        <w:tc>
          <w:tcPr>
            <w:tcW w:type="dxa" w:w="64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GM</w:t>
            </w:r>
          </w:p>
        </w:tc>
        <w:tc>
          <w:tcPr>
            <w:tcW w:type="dxa" w:w="259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201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Decisión si falla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Llar de Mar 2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535.000 €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80%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428.000 €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25%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Contrato + anticipo</w:t>
            </w:r>
          </w:p>
        </w:tc>
        <w:tc>
          <w:tcPr>
            <w:tcW w:type="dxa" w:w="201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No activar coste sin anticipo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Digitalización fabricante partner piloto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250.000 €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70%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175.000 €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58%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m² planta validados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Reclasificar tier o fasear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Digitalización equipo de montaje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35.000 €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70%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24.500 €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62%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Cuadrillas y operarios validados</w:t>
            </w:r>
          </w:p>
        </w:tc>
        <w:tc>
          <w:tcPr>
            <w:tcW w:type="dxa" w:w="201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Reducir a Crew Starter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Fee de Red Fabricante - 52.000 m²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130.000 €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70%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91.000 €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86%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m² fabricados verificados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Facturar solo m² verificados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Fee de Red Montaje - 52.000 m²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130.000 €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70%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91.000 €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84%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m² instalados verificados</w:t>
            </w:r>
          </w:p>
        </w:tc>
        <w:tc>
          <w:tcPr>
            <w:tcW w:type="dxa" w:w="201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Facturar solo m² verificados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KIWA/RMOOB - proyecto único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400.000 €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50%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200.000 €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55%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Contrato + alcance + hitos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No reconocer sin firma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Moolde / Plastic People / Calaf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90.000 €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45%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40.500 €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40%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Cofinanciación + presupuesto</w:t>
            </w:r>
          </w:p>
        </w:tc>
        <w:tc>
          <w:tcPr>
            <w:tcW w:type="dxa" w:w="201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Evitar piloto gratuito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Marsam / marcas producto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40.000 €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45%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18.000 €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55%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Oferta aceptada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Paquetizar prototipo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SaaS / POI / DPP recurrente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60.000 €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60%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36.000 €</w:t>
            </w:r>
          </w:p>
        </w:tc>
        <w:tc>
          <w:tcPr>
            <w:tcW w:type="dxa" w:w="6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75%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Contrato activo + uso</w:t>
            </w:r>
          </w:p>
        </w:tc>
        <w:tc>
          <w:tcPr>
            <w:tcW w:type="dxa" w:w="201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3"/>
              </w:rPr>
              <w:t>Reducir alcance a MVP vendible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KPI plan 300K</w:t>
            </w:r>
          </w:p>
        </w:tc>
        <w:tc>
          <w:tcPr>
            <w:tcW w:type="dxa" w:w="187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Management case</w:t>
            </w:r>
          </w:p>
        </w:tc>
        <w:tc>
          <w:tcPr>
            <w:tcW w:type="dxa" w:w="1872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Ponderado</w:t>
            </w:r>
          </w:p>
        </w:tc>
        <w:tc>
          <w:tcPr>
            <w:tcW w:type="dxa" w:w="374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Ingresos 2027</w:t>
            </w:r>
          </w:p>
        </w:tc>
        <w:tc>
          <w:tcPr>
            <w:tcW w:type="dxa" w:w="187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1.670.000 €</w:t>
            </w:r>
          </w:p>
        </w:tc>
        <w:tc>
          <w:tcPr>
            <w:tcW w:type="dxa" w:w="187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1.104.000 €</w:t>
            </w:r>
          </w:p>
        </w:tc>
        <w:tc>
          <w:tcPr>
            <w:tcW w:type="dxa" w:w="37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Pipeline base frente a probabilidad por proyecto.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EBITDA 2027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313.999 €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11.039 €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La lectura ponderada exige disciplina de caja y contratación por gates.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Caja final 2027</w:t>
            </w:r>
          </w:p>
        </w:tc>
        <w:tc>
          <w:tcPr>
            <w:tcW w:type="dxa" w:w="187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327.599 €</w:t>
            </w:r>
          </w:p>
        </w:tc>
        <w:tc>
          <w:tcPr>
            <w:tcW w:type="dxa" w:w="1872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24.639 €</w:t>
            </w:r>
          </w:p>
        </w:tc>
        <w:tc>
          <w:tcPr>
            <w:tcW w:type="dxa" w:w="37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6"/>
              </w:rPr>
              <w:t>El plan preserva caja si los costes se activan contra cobros y contratos.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B1F33"/>
        </w:rPr>
        <w:t>9.1. Secuencia comercial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Vender P0/P1/P3 con alcance y gate, no la totalidad del universo CUEVA desde la primera reunión.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Convertir cada piloto en evidencia comercial: antes/después, incidencias, tiempo, calidad, recepción y cierre documental.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Pasar de piloto a contrato anual con mínimo, y de contrato anual a licenciatario certificado.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Activar POI/DPP como condición de pago, garantía, certificación, recepción o mantenimiento.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Convertir stock vivo en mantenimiento y datos recurrentes; abrir la capa financiera solo con datos reales.</w:t>
      </w:r>
    </w:p>
    <w:p>
      <w:pPr>
        <w:pStyle w:val="Heading1"/>
      </w:pPr>
      <w:r>
        <w:rPr>
          <w:rFonts w:ascii="Arial" w:hAnsi="Arial"/>
          <w:color w:val="0B1F33"/>
        </w:rPr>
        <w:t>10. Roadmap operativo 2026-2030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7. Roadmap doble carril: plan 300K y Scale Case por gates.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arquitectura del plan evita confundir ejecución mínima con upside. El 300K compra continuidad y reducción de riesgo. El Scale Case se desbloquea con capital adicional, contratos, producto estable, partners activos, control de caja, carpeta documental y capacidad de despliegue.</w:t>
      </w:r>
    </w:p>
    <w:p>
      <w:pPr>
        <w:pStyle w:val="Heading1"/>
      </w:pPr>
      <w:r>
        <w:rPr>
          <w:rFonts w:ascii="Arial" w:hAnsi="Arial"/>
          <w:color w:val="0B1F33"/>
        </w:rPr>
        <w:t>11. Plan CUEVA Total 2030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El Scale Case no prolonga linealmente el plan 300K. Exige más capital, partners, producto, organización, customer success, seguridad, soporte y volumen. En el modelo V8 validado, CUEVA alcanza 23 partners activos en 2030, 2,94M m² emitidos anuales y 6,51M m² de stock vivo.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2_sto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8. Motor volumétrico: m² emitidos y stock vivo.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venue_ebitda_203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9. Ingresos y EBITDA 2026-2030 en Scale Case 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0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Concepto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2026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2027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2028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2029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2030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Ingresos totales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3,0 M€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12,7 M€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41,9 M€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92,0 M€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188,9 M€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EBITDA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-1,6 M€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1,9 M€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16,7 M€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47,5 M€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110,4 M€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Margen EBITDA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-54,8%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15,0%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40,0%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51,6%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58,5%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m² emitidos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140.000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446.000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1.065.000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1.920.000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2.940.000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Stock vivo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140.000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586.000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1.651.000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3.570.000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6.511.000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Partners activos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5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11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17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23</w:t>
            </w:r>
          </w:p>
        </w:tc>
      </w:tr>
      <w:tr>
        <w:tc>
          <w:tcPr>
            <w:tcW w:type="dxa" w:w="20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Financiación modelizada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3,5 M€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3,0 M€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1,5 M€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0,0 M€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0,0 M€</w:t>
            </w:r>
          </w:p>
        </w:tc>
      </w:tr>
    </w:tbl>
    <w:p/>
    <w:p>
      <w:pPr>
        <w:spacing w:after="100"/>
        <w:ind w:left="216"/>
      </w:pPr>
      <w:r>
        <w:rPr>
          <w:rFonts w:ascii="Arial" w:hAnsi="Arial"/>
          <w:i/>
          <w:color w:val="667085"/>
          <w:sz w:val="17"/>
        </w:rPr>
        <w:t>La financiación modelizada 2026-2028 no es capital comprometido. Debe estructurarse por tramos y liberarse contra reducción verificable de riesgo.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ix_203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10. Mix de ingresos 2030 por motor.</w:t>
      </w:r>
    </w:p>
    <w:p>
      <w:pPr>
        <w:pStyle w:val="Heading1"/>
      </w:pPr>
      <w:r>
        <w:rPr>
          <w:rFonts w:ascii="Arial" w:hAnsi="Arial"/>
          <w:color w:val="0B1F33"/>
        </w:rPr>
        <w:t>12. Valoración 2027 y 2030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valoración 2027 se presenta como objetivo de gestión, no como tasación independiente. La lectura depende de hitos: release comercial, casos, hub, monetización de red, pipeline, contrato KIWA/RMOOB único, gobierno y repetibilidad.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aluation_bridge_202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11. Bridge de valor actual a objetivo 2027.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2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Hito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Incremento</w:t>
            </w:r>
          </w:p>
        </w:tc>
        <w:tc>
          <w:tcPr>
            <w:tcW w:type="dxa" w:w="122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Acumulado</w:t>
            </w:r>
          </w:p>
        </w:tc>
        <w:tc>
          <w:tcPr>
            <w:tcW w:type="dxa" w:w="388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Evidencia requerida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>
              <w:t>Valor actual de referencia</w:t>
            </w:r>
            <w:r>
              <w:rPr>
                <w:rFonts w:ascii="Arial" w:hAnsi="Arial"/>
                <w:b w:val="0"/>
                <w:color w:val="26323F"/>
                <w:sz w:val="14"/>
              </w:rPr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4.216.175 €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4.216.175 €</w:t>
            </w:r>
          </w:p>
        </w:tc>
        <w:tc>
          <w:tcPr>
            <w:tcW w:type="dxa" w:w="3888"/>
            <w:vAlign w:val="center"/>
            <w:shd w:fill="F7F9FB"/>
          </w:tcPr>
          <w:p>
            <w:r>
              <w:t>Informe inversor, memoria de inversión, activos, demos</w:t>
            </w:r>
            <w:r>
              <w:rPr>
                <w:rFonts w:ascii="Arial" w:hAnsi="Arial"/>
                <w:b w:val="0"/>
                <w:color w:val="26323F"/>
                <w:sz w:val="14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Producto CUEVA OS comercializable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1.200.000 €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5.416.175 €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Release, demo, QA, documentación, seguridad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Casos y validación industrial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900.000 €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6.316.175 €</w:t>
            </w:r>
          </w:p>
        </w:tc>
        <w:tc>
          <w:tcPr>
            <w:tcW w:type="dxa" w:w="38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Piedrahita, Menorca, Llar de Mar 2 con POI/DPP</w:t>
            </w:r>
          </w:p>
        </w:tc>
      </w:tr>
      <w:tr>
        <w:tc>
          <w:tcPr>
            <w:tcW w:type="dxa" w:w="2520"/>
            <w:vAlign w:val="center"/>
          </w:tcPr>
          <w:p>
            <w:r>
              <w:t>Hub Valeriano operativo</w:t>
            </w:r>
            <w:r>
              <w:rPr>
                <w:rFonts w:ascii="Arial" w:hAnsi="Arial"/>
                <w:b w:val="0"/>
                <w:color w:val="26323F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800.000 €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7.116.175 €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Acuerdo hub, showroom, visitas y primer proyecto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Monetización de red demostrada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850.000 €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7.966.175 €</w:t>
            </w:r>
          </w:p>
        </w:tc>
        <w:tc>
          <w:tcPr>
            <w:tcW w:type="dxa" w:w="38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Primer fabricante y montador digitalizados + fees 2,5/2,5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Pipeline e ingresos 2027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950.000 €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8.916.175 €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Contratos, facturas, cobros, P&amp;L y EBITDA positivo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KIWA/RMOOB proyecto único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400.000 €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9.316.175 €</w:t>
            </w:r>
          </w:p>
        </w:tc>
        <w:tc>
          <w:tcPr>
            <w:tcW w:type="dxa" w:w="388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Contrato único de 400k, alcance y cobros por hitos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Gobierno, carpeta documental y repetibilidad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350.000 €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9.666.175 €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Contratos tipo, unit economics, KPIs y evidencias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Opcionalidad estratégica y mercado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150.000 €</w:t>
            </w:r>
          </w:p>
        </w:tc>
        <w:tc>
          <w:tcPr>
            <w:tcW w:type="dxa" w:w="122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9.816.175 €</w:t>
            </w:r>
          </w:p>
        </w:tc>
        <w:tc>
          <w:tcPr>
            <w:tcW w:type="dxa" w:w="3888"/>
            <w:vAlign w:val="center"/>
            <w:shd w:fill="F7F9FB"/>
          </w:tcPr>
          <w:p>
            <w:r>
              <w:t>CRM, partners, verticales y condocumento</w:t>
            </w:r>
            <w:r>
              <w:rPr>
                <w:rFonts w:ascii="Arial" w:hAnsi="Arial"/>
                <w:b w:val="0"/>
                <w:color w:val="26323F"/>
                <w:sz w:val="14"/>
              </w:rPr>
            </w:r>
          </w:p>
        </w:tc>
      </w:tr>
      <w:tr>
        <w:tc>
          <w:tcPr>
            <w:tcW w:type="dxa" w:w="2520"/>
            <w:vAlign w:val="center"/>
          </w:tcPr>
          <w:p>
            <w:r>
              <w:t>Haircut prudencia para objetivo de referencia</w:t>
            </w:r>
            <w:r>
              <w:rPr>
                <w:rFonts w:ascii="Arial" w:hAnsi="Arial"/>
                <w:b w:val="0"/>
                <w:color w:val="26323F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-316.175 €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9.500.000 €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4"/>
              </w:rPr>
              <w:t>Ancla comercial: 9,5M EUR, rango 8-12M</w:t>
            </w:r>
          </w:p>
        </w:tc>
      </w:tr>
    </w:tbl>
    <w:p/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En 2030, el EV midpoint del modelo base asciende a 1.599,8 M€. La SOTP base ofrece un contraste adicional por calidad de ingreso y reduce el riesgo de aplicar un único múltiplo a realidades económicas distintas.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cenarios_203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12. Escenarios 2030 y comparación frente al umbral unicornio.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58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65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Ingresos 2030</w:t>
            </w:r>
          </w:p>
        </w:tc>
        <w:tc>
          <w:tcPr>
            <w:tcW w:type="dxa" w:w="165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EBITDA 2030</w:t>
            </w:r>
          </w:p>
        </w:tc>
        <w:tc>
          <w:tcPr>
            <w:tcW w:type="dxa" w:w="1656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EV midpoint</w:t>
            </w:r>
          </w:p>
        </w:tc>
        <w:tc>
          <w:tcPr>
            <w:tcW w:type="dxa" w:w="288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Lectura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Guarded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122,9 M€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62,2 M€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773,2 M€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Condicionado a volumen, partners, adopción y capital.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Base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188,9 M€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110,4 M€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1.599,8 M€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Condicionado a volumen, partners, adopción y capital.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Breakout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261,4 M€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160,0 M€</w:t>
            </w:r>
          </w:p>
        </w:tc>
        <w:tc>
          <w:tcPr>
            <w:tcW w:type="dxa" w:w="1656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2.645,8 M€</w:t>
            </w:r>
          </w:p>
        </w:tc>
        <w:tc>
          <w:tcPr>
            <w:tcW w:type="dxa" w:w="288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Condicionado a volumen, partners, adopción y capital.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F33"/>
        </w:rPr>
        <w:t>13. Riesgos, gates y control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fortaleza del BP no está en prometer una curva agresiva, sino en convertir cada riesgo en gate observable con decisión predefinida. La documento debe circular como documento vivo pero controlado: cualquier cambio de cifra requiere fuente, responsable, fecha, racional y check contra el Excel validado.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isk_gat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7"/>
        </w:rPr>
        <w:t>Figura 13. Mapa de riesgos, gates y decisiones operativas.</w:t>
      </w:r>
    </w:p>
    <w:p>
      <w:pPr>
        <w:pStyle w:val="Heading2"/>
      </w:pPr>
      <w:r>
        <w:rPr>
          <w:rFonts w:ascii="Arial" w:hAnsi="Arial"/>
          <w:color w:val="0B1F33"/>
        </w:rPr>
        <w:t>13.1. Reglas de lectura ante analista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No vender royalties: vender activation, evidence, network services y datos sobre stock vivo.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No presentar CUEVA como constructora: CUEVA habilita, verifica y opera activos construidos.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El unicornio no es garantía: es outcome condicionado a hitos, capital y ejecución.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Separar ingresos por calidad: recurrente, contractual one-shot, servicios, proyecto y upside.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En iPath, hablar de recepción documental, mantenimiento, TCO, circularidad, SLA y disponibilidad.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POI antes que DPP: primero la prueba física; después el pasaporte vivo.</w:t>
      </w:r>
    </w:p>
    <w:p>
      <w:pPr>
        <w:pStyle w:val="ListBullet"/>
        <w:spacing w:after="60"/>
      </w:pPr>
      <w:r>
        <w:rPr>
          <w:rFonts w:ascii="Arial" w:hAnsi="Arial"/>
          <w:color w:val="26323F"/>
          <w:sz w:val="19"/>
        </w:rPr>
        <w:t>En valoración, usar bridge por hitos y suma de partes como contraste.</w:t>
      </w:r>
    </w:p>
    <w:p>
      <w:pPr>
        <w:pStyle w:val="Heading1"/>
      </w:pPr>
      <w:r>
        <w:rPr>
          <w:rFonts w:ascii="Arial" w:hAnsi="Arial"/>
          <w:color w:val="0B1F33"/>
        </w:rPr>
        <w:t>14. Estructura de inversión y documentación de soporte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Para posibles interesados cualificados se plantea una conversación flexible: aportación directa, préstamo participativo o instrumento convertible, siempre vinculado a gates de ejecución. El escenario 2030 no debe venderse como pre-money actual; la conversación se ancla en el valor actual de referencia, el plan 300K y la mejora de posición esperada a 2027.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Documento / fuente</w:t>
            </w:r>
          </w:p>
        </w:tc>
        <w:tc>
          <w:tcPr>
            <w:tcW w:type="dxa" w:w="5760"/>
            <w:vAlign w:val="center"/>
            <w:shd w:fill="0B1F33"/>
          </w:tcPr>
          <w:p>
            <w:r>
              <w:t>Uso en el BP</w:t>
            </w:r>
            <w:r>
              <w:rPr>
                <w:rFonts w:ascii="Arial" w:hAnsi="Arial"/>
                <w:b/>
                <w:color w:val="FFFFFF"/>
                <w:sz w:val="15"/>
              </w:rPr>
            </w:r>
          </w:p>
        </w:tc>
      </w:tr>
      <w:tr>
        <w:tc>
          <w:tcPr>
            <w:tcW w:type="dxa" w:w="3600"/>
            <w:vAlign w:val="center"/>
            <w:shd w:fill="F7F9FB"/>
          </w:tcPr>
          <w:p>
            <w:r>
              <w:t>CUEVA_BP_TOTAL_Y_MEMORANDO_INVERSOR__2026-07-13.docx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57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Contenido base, narrativa de Asset OS, estructura total y matriz de producto/modelo.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CUEVA_MODELO_FINANCIERO_V8_VALIDADO_2026-07-13.xlsx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Cifras definitivas de plan 300K, 2027, 2030, valoración, escenarios y stress.</w:t>
            </w:r>
          </w:p>
        </w:tc>
      </w:tr>
      <w:tr>
        <w:tc>
          <w:tcPr>
            <w:tcW w:type="dxa" w:w="360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BP narrativo de referencia 10/07/2026</w:t>
            </w:r>
          </w:p>
        </w:tc>
        <w:tc>
          <w:tcPr>
            <w:tcW w:type="dxa" w:w="576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Estructura inversora, claridad expositiva y lectura de tesis.</w:t>
            </w:r>
          </w:p>
        </w:tc>
      </w:tr>
      <w:tr>
        <w:tc>
          <w:tcPr>
            <w:tcW w:type="dxa" w:w="3600"/>
            <w:vAlign w:val="center"/>
          </w:tcPr>
          <w:p>
            <w:r>
              <w:t>Informe de inversión y producto CUEVA OS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Base de valoración actual, familias técnicas, TRL, evidencias y benchmarks.</w:t>
            </w:r>
          </w:p>
        </w:tc>
      </w:tr>
      <w:tr>
        <w:tc>
          <w:tcPr>
            <w:tcW w:type="dxa" w:w="3600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Memorias CDTI, Cervera, Tax Lease y CEREBRO</w:t>
            </w:r>
          </w:p>
        </w:tc>
        <w:tc>
          <w:tcPr>
            <w:tcW w:type="dxa" w:w="5760"/>
            <w:vAlign w:val="center"/>
            <w:shd w:fill="F7F9FB"/>
          </w:tcPr>
          <w:p>
            <w:r>
              <w:t>Triangulación técnica y lectura de alcance de reproducción.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Carta de Servicios, Benefits OS, iPath, white paper blockchain y vivienda generativa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Producto, verticales, beneficios, activos digitales y extensiones futuras.</w:t>
            </w:r>
          </w:p>
        </w:tc>
      </w:tr>
    </w:tbl>
    <w:p/>
    <w:p>
      <w:pPr>
        <w:spacing w:after="100"/>
        <w:ind w:left="216"/>
      </w:pPr>
      <w:r>
        <w:rPr>
          <w:rFonts w:ascii="Arial" w:hAnsi="Arial"/>
          <w:i/>
          <w:color w:val="667085"/>
          <w:sz w:val="17"/>
        </w:rPr>
        <w:t>Este documento no sustituye revisión legal, fiscal, contable o técnica independiente. Las proyecciones son modelos de gestión condicionados a ejecución, contratos, cobros, capital y mercado.</w:t>
      </w:r>
    </w:p>
    <w:p>
      <w:pPr>
        <w:pStyle w:val="Heading1"/>
      </w:pPr>
      <w:r>
        <w:rPr>
          <w:rFonts w:ascii="Arial" w:hAnsi="Arial"/>
          <w:color w:val="0B1F33"/>
        </w:rPr>
        <w:t>15. Cierre</w:t>
      </w:r>
    </w:p>
    <w:p>
      <w:pPr>
        <w:spacing w:line="271" w:lineRule="auto" w:after="120"/>
      </w:pPr>
      <w:r>
        <w:rPr>
          <w:rFonts w:ascii="Arial" w:hAnsi="Arial"/>
          <w:color w:val="26323F"/>
          <w:sz w:val="20"/>
        </w:rPr>
        <w:t>La forma correcta de vender CUEVA es ambiciosa pero verificable. El activo ya construido permite presentar una base de 4,216 M€. El tramo de 300K convierte esa base en producto comercial, pipeline gobernado y primer caso de red. El plan 2030 es el resultado posible si los hitos liberan capital, partners y m². La oportunidad no está en prometer más: está en demostrar más rápido, con evidencia y con disciplina.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Problema sectorial</w:t>
            </w:r>
          </w:p>
        </w:tc>
        <w:tc>
          <w:tcPr>
            <w:tcW w:type="dxa" w:w="3744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Aporte CUEVA</w:t>
            </w:r>
          </w:p>
        </w:tc>
        <w:tc>
          <w:tcPr>
            <w:tcW w:type="dxa" w:w="3168"/>
            <w:vAlign w:val="center"/>
            <w:shd w:fill="0B1F33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Cambio esperado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Circularidad y residuos</w:t>
            </w:r>
          </w:p>
        </w:tc>
        <w:tc>
          <w:tcPr>
            <w:tcW w:type="dxa" w:w="37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DPP, Circular Ledger, materiales, ciclos, reutilización y fin de vida.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Mejor reporte ESG, menor pérdida de material y reutilización verificable.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Trazabilidad y recepción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POI, audit trail, timestamp, responsable, ubicación y dossier.</w:t>
            </w:r>
          </w:p>
        </w:tc>
        <w:tc>
          <w:tcPr>
            <w:tcW w:type="dxa" w:w="3168"/>
            <w:vAlign w:val="center"/>
          </w:tcPr>
          <w:p>
            <w:r>
              <w:t>Menos disputas, cierres más rápidos y evidencias consistentes.</w:t>
            </w:r>
            <w:r>
              <w:rPr>
                <w:rFonts w:ascii="Arial" w:hAnsi="Arial"/>
                <w:b w:val="0"/>
                <w:color w:val="26323F"/>
                <w:sz w:val="15"/>
              </w:rPr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Escasez de personal técnico</w:t>
            </w:r>
          </w:p>
        </w:tc>
        <w:tc>
          <w:tcPr>
            <w:tcW w:type="dxa" w:w="37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Designer, API, reglas generativas, ingeniería virtual y automatización.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Captura de conocimiento y menor dependencia de perfiles escasos.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Fragmentación entre agentes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Project Room, perfiles, permisos, dashboards, conectores y Market OS.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Coordinación, continuidad documental y decisión basada en datos.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Coste, plazo y logística</w:t>
            </w:r>
          </w:p>
        </w:tc>
        <w:tc>
          <w:tcPr>
            <w:tcW w:type="dxa" w:w="3744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Factory Core, Factory Flow, Warehouse OS, rutas, packing y Site Proof.</w:t>
            </w:r>
          </w:p>
        </w:tc>
        <w:tc>
          <w:tcPr>
            <w:tcW w:type="dxa" w:w="3168"/>
            <w:vAlign w:val="center"/>
            <w:shd w:fill="F7F9FB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Control de estados, costes reales, incidencias y recepción por hito.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Financiación y explotación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Activos digitales, datos, mantenimiento, derechos y marketplace.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323F"/>
                <w:sz w:val="15"/>
              </w:rPr>
              <w:t>Puente entre activo físico, evidencia, servicio, financiación y transacción.</w:t>
            </w:r>
          </w:p>
        </w:tc>
      </w:tr>
    </w:tbl>
    <w:p/>
    <w:sectPr>
      <w:footerReference w:type="default" r:id="rId9"/>
      <w:headerReference w:type="default" r:id="rId25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>CUEVA · Documento confidencial para posibles interesados cualificados · · 15/07/2026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