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cueva_logo.png"/>
                    <pic:cNvPicPr/>
                  </pic:nvPicPr>
                  <pic:blipFill>
                    <a:blip r:embed="rId10"/>
                    <a:stretch>
                      <a:fillRect/>
                    </a:stretch>
                  </pic:blipFill>
                  <pic:spPr>
                    <a:xfrm>
                      <a:off x="0" y="0"/>
                      <a:ext cx="1234440" cy="1234440"/>
                    </a:xfrm>
                    <a:prstGeom prst="rect"/>
                  </pic:spPr>
                </pic:pic>
              </a:graphicData>
            </a:graphic>
          </wp:inline>
        </w:drawing>
      </w:r>
    </w:p>
    <w:p>
      <w:pPr>
        <w:jc w:val="left"/>
      </w:pPr>
      <w:r>
        <w:rPr>
          <w:rFonts w:ascii="Arial" w:hAnsi="Arial"/>
          <w:b/>
          <w:color w:val="0B1F33"/>
          <w:sz w:val="52"/>
        </w:rPr>
        <w:t>CUEVA</w:t>
        <w:br/>
        <w:t>BUSINESS PLAN DEFINITIVO</w:t>
      </w:r>
    </w:p>
    <w:p>
      <w:pPr>
        <w:jc w:val="left"/>
      </w:pPr>
      <w:r>
        <w:rPr>
          <w:rFonts w:ascii="Arial" w:hAnsi="Arial"/>
          <w:color w:val="159A76"/>
          <w:sz w:val="30"/>
        </w:rPr>
        <w:t>Sistema Operativo del Activo Construido Verificable</w:t>
      </w:r>
    </w:p>
    <w:p>
      <w:pPr>
        <w:spacing w:line="271" w:lineRule="auto" w:after="120"/>
      </w:pPr>
      <w:r>
        <w:rPr>
          <w:rFonts w:ascii="Arial" w:hAnsi="Arial"/>
          <w:color w:val="26323F"/>
          <w:sz w:val="20"/>
        </w:rPr>
        <w:t>Documento para posibles interesados cualificados. Integra valor actual defendido, exposición del proyecto y producto, líneas de negocio, plan 300K, plan CUEVA Total 2030, modelo financiero validado y arquitectura de ejecución por gates.</w:t>
      </w:r>
    </w:p>
    <w:tbl>
      <w:tblPr>
        <w:tblStyle w:val="TableGrid"/>
        <w:tblW w:type="auto" w:w="0"/>
        <w:tblLook w:firstColumn="1" w:firstRow="1" w:lastColumn="0" w:lastRow="0" w:noHBand="0" w:noVBand="1" w:val="04A0"/>
      </w:tblPr>
      <w:tblGrid>
        <w:gridCol w:w="3456"/>
        <w:gridCol w:w="3456"/>
        <w:gridCol w:w="3456"/>
      </w:tblGrid>
      <w:tr>
        <w:tc>
          <w:tcPr>
            <w:tcW w:type="dxa" w:w="2160"/>
            <w:vAlign w:val="center"/>
            <w:shd w:fill="0B1F33"/>
          </w:tcPr>
          <w:p>
            <w:r/>
            <w:r>
              <w:rPr>
                <w:rFonts w:ascii="Arial" w:hAnsi="Arial"/>
                <w:b/>
                <w:color w:val="FFFFFF"/>
                <w:sz w:val="16"/>
              </w:rPr>
              <w:t>Bloque</w:t>
            </w:r>
          </w:p>
        </w:tc>
        <w:tc>
          <w:tcPr>
            <w:tcW w:type="dxa" w:w="2880"/>
            <w:vAlign w:val="center"/>
            <w:shd w:fill="0B1F33"/>
          </w:tcPr>
          <w:p>
            <w:r/>
            <w:r>
              <w:rPr>
                <w:rFonts w:ascii="Arial" w:hAnsi="Arial"/>
                <w:b/>
                <w:color w:val="FFFFFF"/>
                <w:sz w:val="16"/>
              </w:rPr>
              <w:t>Cifra / tesis</w:t>
            </w:r>
          </w:p>
        </w:tc>
        <w:tc>
          <w:tcPr>
            <w:tcW w:type="dxa" w:w="4608"/>
            <w:vAlign w:val="center"/>
            <w:shd w:fill="0B1F33"/>
          </w:tcPr>
          <w:p>
            <w:r/>
            <w:r>
              <w:rPr>
                <w:rFonts w:ascii="Arial" w:hAnsi="Arial"/>
                <w:b/>
                <w:color w:val="FFFFFF"/>
                <w:sz w:val="16"/>
              </w:rPr>
              <w:t>Lectura</w:t>
            </w:r>
          </w:p>
        </w:tc>
      </w:tr>
      <w:tr>
        <w:tc>
          <w:tcPr>
            <w:tcW w:type="dxa" w:w="2160"/>
            <w:vAlign w:val="center"/>
            <w:shd w:fill="F7F9FB"/>
          </w:tcPr>
          <w:p>
            <w:r/>
            <w:r>
              <w:rPr>
                <w:rFonts w:ascii="Arial" w:hAnsi="Arial"/>
                <w:b w:val="0"/>
                <w:color w:val="26323F"/>
                <w:sz w:val="16"/>
              </w:rPr>
              <w:t>Valor actual defendido</w:t>
            </w:r>
          </w:p>
        </w:tc>
        <w:tc>
          <w:tcPr>
            <w:tcW w:type="dxa" w:w="2880"/>
            <w:vAlign w:val="center"/>
            <w:shd w:fill="F7F9FB"/>
          </w:tcPr>
          <w:p>
            <w:r/>
            <w:r>
              <w:rPr>
                <w:rFonts w:ascii="Arial" w:hAnsi="Arial"/>
                <w:b w:val="0"/>
                <w:color w:val="26323F"/>
                <w:sz w:val="16"/>
              </w:rPr>
              <w:t>4.216.174,70 €</w:t>
            </w:r>
          </w:p>
        </w:tc>
        <w:tc>
          <w:tcPr>
            <w:tcW w:type="dxa" w:w="4608"/>
            <w:vAlign w:val="center"/>
            <w:shd w:fill="F7F9FB"/>
          </w:tcPr>
          <w:p>
            <w:r/>
            <w:r>
              <w:rPr>
                <w:rFonts w:ascii="Arial" w:hAnsi="Arial"/>
                <w:b w:val="0"/>
                <w:color w:val="26323F"/>
                <w:sz w:val="16"/>
              </w:rPr>
              <w:t>Base construida por inversión acumulada, familias técnicas y producto actual.</w:t>
            </w:r>
          </w:p>
        </w:tc>
      </w:tr>
      <w:tr>
        <w:tc>
          <w:tcPr>
            <w:tcW w:type="dxa" w:w="2160"/>
            <w:vAlign w:val="center"/>
          </w:tcPr>
          <w:p>
            <w:r/>
            <w:r>
              <w:rPr>
                <w:rFonts w:ascii="Arial" w:hAnsi="Arial"/>
                <w:b w:val="0"/>
                <w:color w:val="26323F"/>
                <w:sz w:val="16"/>
              </w:rPr>
              <w:t>Tramo inmediato</w:t>
            </w:r>
          </w:p>
        </w:tc>
        <w:tc>
          <w:tcPr>
            <w:tcW w:type="dxa" w:w="2880"/>
            <w:vAlign w:val="center"/>
          </w:tcPr>
          <w:p>
            <w:r/>
            <w:r>
              <w:rPr>
                <w:rFonts w:ascii="Arial" w:hAnsi="Arial"/>
                <w:b w:val="0"/>
                <w:color w:val="26323F"/>
                <w:sz w:val="16"/>
              </w:rPr>
              <w:t>300.000 €</w:t>
            </w:r>
          </w:p>
        </w:tc>
        <w:tc>
          <w:tcPr>
            <w:tcW w:type="dxa" w:w="4608"/>
            <w:vAlign w:val="center"/>
          </w:tcPr>
          <w:p>
            <w:r/>
            <w:r>
              <w:rPr>
                <w:rFonts w:ascii="Arial" w:hAnsi="Arial"/>
                <w:b w:val="0"/>
                <w:color w:val="26323F"/>
                <w:sz w:val="16"/>
              </w:rPr>
              <w:t>Compra reducción de riesgo: equipo, producto, comercialización, hub y cierres críticos.</w:t>
            </w:r>
          </w:p>
        </w:tc>
      </w:tr>
      <w:tr>
        <w:tc>
          <w:tcPr>
            <w:tcW w:type="dxa" w:w="2160"/>
            <w:vAlign w:val="center"/>
            <w:shd w:fill="F7F9FB"/>
          </w:tcPr>
          <w:p>
            <w:r/>
            <w:r>
              <w:rPr>
                <w:rFonts w:ascii="Arial" w:hAnsi="Arial"/>
                <w:b w:val="0"/>
                <w:color w:val="26323F"/>
                <w:sz w:val="16"/>
              </w:rPr>
              <w:t>Plan 2027</w:t>
            </w:r>
          </w:p>
        </w:tc>
        <w:tc>
          <w:tcPr>
            <w:tcW w:type="dxa" w:w="2880"/>
            <w:vAlign w:val="center"/>
            <w:shd w:fill="F7F9FB"/>
          </w:tcPr>
          <w:p>
            <w:r/>
            <w:r>
              <w:rPr>
                <w:rFonts w:ascii="Arial" w:hAnsi="Arial"/>
                <w:b w:val="0"/>
                <w:color w:val="26323F"/>
                <w:sz w:val="16"/>
              </w:rPr>
              <w:t>1,67 M€ ingresos base / 1,104 M€ ponderado</w:t>
            </w:r>
          </w:p>
        </w:tc>
        <w:tc>
          <w:tcPr>
            <w:tcW w:type="dxa" w:w="4608"/>
            <w:vAlign w:val="center"/>
            <w:shd w:fill="F7F9FB"/>
          </w:tcPr>
          <w:p>
            <w:r/>
            <w:r>
              <w:rPr>
                <w:rFonts w:ascii="Arial" w:hAnsi="Arial"/>
                <w:b w:val="0"/>
                <w:color w:val="26323F"/>
                <w:sz w:val="16"/>
              </w:rPr>
              <w:t>Pipeline reconstruido con un solo KIWA/RMOOB y fees de red por m².</w:t>
            </w:r>
          </w:p>
        </w:tc>
      </w:tr>
      <w:tr>
        <w:tc>
          <w:tcPr>
            <w:tcW w:type="dxa" w:w="2160"/>
            <w:vAlign w:val="center"/>
          </w:tcPr>
          <w:p>
            <w:r/>
            <w:r>
              <w:rPr>
                <w:rFonts w:ascii="Arial" w:hAnsi="Arial"/>
                <w:b w:val="0"/>
                <w:color w:val="26323F"/>
                <w:sz w:val="16"/>
              </w:rPr>
              <w:t>Escala 2030</w:t>
            </w:r>
          </w:p>
        </w:tc>
        <w:tc>
          <w:tcPr>
            <w:tcW w:type="dxa" w:w="2880"/>
            <w:vAlign w:val="center"/>
          </w:tcPr>
          <w:p>
            <w:r/>
            <w:r>
              <w:rPr>
                <w:rFonts w:ascii="Arial" w:hAnsi="Arial"/>
                <w:b w:val="0"/>
                <w:color w:val="26323F"/>
                <w:sz w:val="16"/>
              </w:rPr>
              <w:t>188,9 M€ ingresos / 110,4 M€ EBITDA</w:t>
            </w:r>
          </w:p>
        </w:tc>
        <w:tc>
          <w:tcPr>
            <w:tcW w:type="dxa" w:w="4608"/>
            <w:vAlign w:val="center"/>
          </w:tcPr>
          <w:p>
            <w:r/>
            <w:r>
              <w:rPr>
                <w:rFonts w:ascii="Arial" w:hAnsi="Arial"/>
                <w:b w:val="0"/>
                <w:color w:val="26323F"/>
                <w:sz w:val="16"/>
              </w:rPr>
              <w:t>Scale Case condicionado a capital, red de partners, m² y stock vivo.</w:t>
            </w:r>
          </w:p>
        </w:tc>
      </w:tr>
      <w:tr>
        <w:tc>
          <w:tcPr>
            <w:tcW w:type="dxa" w:w="2160"/>
            <w:vAlign w:val="center"/>
            <w:shd w:fill="F7F9FB"/>
          </w:tcPr>
          <w:p>
            <w:r/>
            <w:r>
              <w:rPr>
                <w:rFonts w:ascii="Arial" w:hAnsi="Arial"/>
                <w:b w:val="0"/>
                <w:color w:val="26323F"/>
                <w:sz w:val="16"/>
              </w:rPr>
              <w:t>Valor 2030</w:t>
            </w:r>
          </w:p>
        </w:tc>
        <w:tc>
          <w:tcPr>
            <w:tcW w:type="dxa" w:w="2880"/>
            <w:vAlign w:val="center"/>
            <w:shd w:fill="F7F9FB"/>
          </w:tcPr>
          <w:p>
            <w:r/>
            <w:r>
              <w:rPr>
                <w:rFonts w:ascii="Arial" w:hAnsi="Arial"/>
                <w:b w:val="0"/>
                <w:color w:val="26323F"/>
                <w:sz w:val="16"/>
              </w:rPr>
              <w:t>1.599,8 M€ EV midpoint</w:t>
            </w:r>
          </w:p>
        </w:tc>
        <w:tc>
          <w:tcPr>
            <w:tcW w:type="dxa" w:w="4608"/>
            <w:vAlign w:val="center"/>
            <w:shd w:fill="F7F9FB"/>
          </w:tcPr>
          <w:p>
            <w:r/>
            <w:r>
              <w:rPr>
                <w:rFonts w:ascii="Arial" w:hAnsi="Arial"/>
                <w:b w:val="0"/>
                <w:color w:val="26323F"/>
                <w:sz w:val="16"/>
              </w:rPr>
              <w:t>Triangulación por ingresos y EBITDA, contrastada con SOTP.</w:t>
            </w:r>
          </w:p>
        </w:tc>
      </w:tr>
    </w:tbl>
    <w:p/>
    <w:p>
      <w:pPr>
        <w:jc w:val="center"/>
      </w:pPr>
      <w:r>
        <w:drawing>
          <wp:inline xmlns:a="http://schemas.openxmlformats.org/drawingml/2006/main" xmlns:pic="http://schemas.openxmlformats.org/drawingml/2006/picture">
            <wp:extent cx="6355080" cy="3707130"/>
            <wp:docPr id="2" name="Picture 2"/>
            <wp:cNvGraphicFramePr>
              <a:graphicFrameLocks noChangeAspect="1"/>
            </wp:cNvGraphicFramePr>
            <a:graphic>
              <a:graphicData uri="http://schemas.openxmlformats.org/drawingml/2006/picture">
                <pic:pic>
                  <pic:nvPicPr>
                    <pic:cNvPr id="0" name="01_cover_kpis.png"/>
                    <pic:cNvPicPr/>
                  </pic:nvPicPr>
                  <pic:blipFill>
                    <a:blip r:embed="rId11"/>
                    <a:stretch>
                      <a:fillRect/>
                    </a:stretch>
                  </pic:blipFill>
                  <pic:spPr>
                    <a:xfrm>
                      <a:off x="0" y="0"/>
                      <a:ext cx="6355080" cy="3707130"/>
                    </a:xfrm>
                    <a:prstGeom prst="rect"/>
                  </pic:spPr>
                </pic:pic>
              </a:graphicData>
            </a:graphic>
          </wp:inline>
        </w:drawing>
      </w:r>
    </w:p>
    <w:p>
      <w:pPr>
        <w:spacing w:after="160"/>
        <w:jc w:val="center"/>
      </w:pPr>
      <w:r>
        <w:rPr>
          <w:rFonts w:ascii="Arial" w:hAnsi="Arial"/>
          <w:i/>
          <w:color w:val="667085"/>
          <w:sz w:val="17"/>
        </w:rPr>
        <w:t>Figura 0. Tesis ejecutiva de cifras y lectura correcta del BP V11.</w:t>
      </w:r>
    </w:p>
    <w:p>
      <w:r>
        <w:br w:type="page"/>
      </w:r>
    </w:p>
    <w:p>
      <w:pPr>
        <w:pStyle w:val="Heading1"/>
      </w:pPr>
      <w:r>
        <w:rPr>
          <w:rFonts w:ascii="Arial" w:hAnsi="Arial"/>
          <w:color w:val="0B1F33"/>
        </w:rPr>
        <w:t>Mapa del documento</w:t>
      </w:r>
    </w:p>
    <w:tbl>
      <w:tblPr>
        <w:tblStyle w:val="TableGrid"/>
        <w:tblW w:type="auto" w:w="0"/>
        <w:tblLook w:firstColumn="1" w:firstRow="1" w:lastColumn="0" w:lastRow="0" w:noHBand="0" w:noVBand="1" w:val="04A0"/>
      </w:tblPr>
      <w:tblGrid>
        <w:gridCol w:w="3456"/>
        <w:gridCol w:w="3456"/>
        <w:gridCol w:w="3456"/>
      </w:tblGrid>
      <w:tr>
        <w:tc>
          <w:tcPr>
            <w:tcW w:type="dxa" w:w="1008"/>
            <w:vAlign w:val="center"/>
            <w:shd w:fill="0B1F33"/>
          </w:tcPr>
          <w:p>
            <w:r/>
            <w:r>
              <w:rPr>
                <w:rFonts w:ascii="Arial" w:hAnsi="Arial"/>
                <w:b/>
                <w:color w:val="FFFFFF"/>
                <w:sz w:val="16"/>
              </w:rPr>
              <w:t>Parte</w:t>
            </w:r>
          </w:p>
        </w:tc>
        <w:tc>
          <w:tcPr>
            <w:tcW w:type="dxa" w:w="4320"/>
            <w:vAlign w:val="center"/>
            <w:shd w:fill="0B1F33"/>
          </w:tcPr>
          <w:p>
            <w:r/>
            <w:r>
              <w:rPr>
                <w:rFonts w:ascii="Arial" w:hAnsi="Arial"/>
                <w:b/>
                <w:color w:val="FFFFFF"/>
                <w:sz w:val="16"/>
              </w:rPr>
              <w:t>Contenido</w:t>
            </w:r>
          </w:p>
        </w:tc>
        <w:tc>
          <w:tcPr>
            <w:tcW w:type="dxa" w:w="4320"/>
            <w:vAlign w:val="center"/>
            <w:shd w:fill="0B1F33"/>
          </w:tcPr>
          <w:p>
            <w:r/>
            <w:r>
              <w:rPr>
                <w:rFonts w:ascii="Arial" w:hAnsi="Arial"/>
                <w:b/>
                <w:color w:val="FFFFFF"/>
                <w:sz w:val="16"/>
              </w:rPr>
              <w:t>Decisión que permite</w:t>
            </w:r>
          </w:p>
        </w:tc>
      </w:tr>
      <w:tr>
        <w:tc>
          <w:tcPr>
            <w:tcW w:type="dxa" w:w="1008"/>
            <w:vAlign w:val="center"/>
            <w:shd w:fill="F7F9FB"/>
          </w:tcPr>
          <w:p>
            <w:r/>
            <w:r>
              <w:rPr>
                <w:rFonts w:ascii="Arial" w:hAnsi="Arial"/>
                <w:b w:val="0"/>
                <w:color w:val="26323F"/>
                <w:sz w:val="16"/>
              </w:rPr>
              <w:t>I</w:t>
            </w:r>
          </w:p>
        </w:tc>
        <w:tc>
          <w:tcPr>
            <w:tcW w:type="dxa" w:w="4320"/>
            <w:vAlign w:val="center"/>
            <w:shd w:fill="F7F9FB"/>
          </w:tcPr>
          <w:p>
            <w:r/>
            <w:r>
              <w:rPr>
                <w:rFonts w:ascii="Arial" w:hAnsi="Arial"/>
                <w:b w:val="0"/>
                <w:color w:val="26323F"/>
                <w:sz w:val="16"/>
              </w:rPr>
              <w:t>Tesis, categoría, problema y oportunidad</w:t>
            </w:r>
          </w:p>
        </w:tc>
        <w:tc>
          <w:tcPr>
            <w:tcW w:type="dxa" w:w="4320"/>
            <w:vAlign w:val="center"/>
            <w:shd w:fill="F7F9FB"/>
          </w:tcPr>
          <w:p>
            <w:r/>
            <w:r>
              <w:rPr>
                <w:rFonts w:ascii="Arial" w:hAnsi="Arial"/>
                <w:b w:val="0"/>
                <w:color w:val="26323F"/>
                <w:sz w:val="16"/>
              </w:rPr>
              <w:t>Entender qué es CUEVA y por qué existe ahora.</w:t>
            </w:r>
          </w:p>
        </w:tc>
      </w:tr>
      <w:tr>
        <w:tc>
          <w:tcPr>
            <w:tcW w:type="dxa" w:w="1008"/>
            <w:vAlign w:val="center"/>
          </w:tcPr>
          <w:p>
            <w:r/>
            <w:r>
              <w:rPr>
                <w:rFonts w:ascii="Arial" w:hAnsi="Arial"/>
                <w:b w:val="0"/>
                <w:color w:val="26323F"/>
                <w:sz w:val="16"/>
              </w:rPr>
              <w:t>II</w:t>
            </w:r>
          </w:p>
        </w:tc>
        <w:tc>
          <w:tcPr>
            <w:tcW w:type="dxa" w:w="4320"/>
            <w:vAlign w:val="center"/>
          </w:tcPr>
          <w:p>
            <w:r/>
            <w:r>
              <w:rPr>
                <w:rFonts w:ascii="Arial" w:hAnsi="Arial"/>
                <w:b w:val="0"/>
                <w:color w:val="26323F"/>
                <w:sz w:val="16"/>
              </w:rPr>
              <w:t>Activo construido e inversión acumulada</w:t>
            </w:r>
          </w:p>
        </w:tc>
        <w:tc>
          <w:tcPr>
            <w:tcW w:type="dxa" w:w="4320"/>
            <w:vAlign w:val="center"/>
          </w:tcPr>
          <w:p>
            <w:r/>
            <w:r>
              <w:rPr>
                <w:rFonts w:ascii="Arial" w:hAnsi="Arial"/>
                <w:b w:val="0"/>
                <w:color w:val="26323F"/>
                <w:sz w:val="16"/>
              </w:rPr>
              <w:t>Defender la valoración de partida sin basarla en caja futura.</w:t>
            </w:r>
          </w:p>
        </w:tc>
      </w:tr>
      <w:tr>
        <w:tc>
          <w:tcPr>
            <w:tcW w:type="dxa" w:w="1008"/>
            <w:vAlign w:val="center"/>
            <w:shd w:fill="F7F9FB"/>
          </w:tcPr>
          <w:p>
            <w:r/>
            <w:r>
              <w:rPr>
                <w:rFonts w:ascii="Arial" w:hAnsi="Arial"/>
                <w:b w:val="0"/>
                <w:color w:val="26323F"/>
                <w:sz w:val="16"/>
              </w:rPr>
              <w:t>III</w:t>
            </w:r>
          </w:p>
        </w:tc>
        <w:tc>
          <w:tcPr>
            <w:tcW w:type="dxa" w:w="4320"/>
            <w:vAlign w:val="center"/>
            <w:shd w:fill="F7F9FB"/>
          </w:tcPr>
          <w:p>
            <w:r/>
            <w:r>
              <w:rPr>
                <w:rFonts w:ascii="Arial" w:hAnsi="Arial"/>
                <w:b w:val="0"/>
                <w:color w:val="26323F"/>
                <w:sz w:val="16"/>
              </w:rPr>
              <w:t>Producto, arquitectura y líneas</w:t>
            </w:r>
          </w:p>
        </w:tc>
        <w:tc>
          <w:tcPr>
            <w:tcW w:type="dxa" w:w="4320"/>
            <w:vAlign w:val="center"/>
            <w:shd w:fill="F7F9FB"/>
          </w:tcPr>
          <w:p>
            <w:r/>
            <w:r>
              <w:rPr>
                <w:rFonts w:ascii="Arial" w:hAnsi="Arial"/>
                <w:b w:val="0"/>
                <w:color w:val="26323F"/>
                <w:sz w:val="16"/>
              </w:rPr>
              <w:t>Ver que el activo es producto modular, no solo relato tecnológico.</w:t>
            </w:r>
          </w:p>
        </w:tc>
      </w:tr>
      <w:tr>
        <w:tc>
          <w:tcPr>
            <w:tcW w:type="dxa" w:w="1008"/>
            <w:vAlign w:val="center"/>
          </w:tcPr>
          <w:p>
            <w:r/>
            <w:r>
              <w:rPr>
                <w:rFonts w:ascii="Arial" w:hAnsi="Arial"/>
                <w:b w:val="0"/>
                <w:color w:val="26323F"/>
                <w:sz w:val="16"/>
              </w:rPr>
              <w:t>IV</w:t>
            </w:r>
          </w:p>
        </w:tc>
        <w:tc>
          <w:tcPr>
            <w:tcW w:type="dxa" w:w="4320"/>
            <w:vAlign w:val="center"/>
          </w:tcPr>
          <w:p>
            <w:r/>
            <w:r>
              <w:rPr>
                <w:rFonts w:ascii="Arial" w:hAnsi="Arial"/>
                <w:b w:val="0"/>
                <w:color w:val="26323F"/>
                <w:sz w:val="16"/>
              </w:rPr>
              <w:t>Modelo de negocio y unit economics</w:t>
            </w:r>
          </w:p>
        </w:tc>
        <w:tc>
          <w:tcPr>
            <w:tcW w:type="dxa" w:w="4320"/>
            <w:vAlign w:val="center"/>
          </w:tcPr>
          <w:p>
            <w:r/>
            <w:r>
              <w:rPr>
                <w:rFonts w:ascii="Arial" w:hAnsi="Arial"/>
                <w:b w:val="0"/>
                <w:color w:val="26323F"/>
                <w:sz w:val="16"/>
              </w:rPr>
              <w:t>Separar pagador, trigger, calidad de ingreso y margen.</w:t>
            </w:r>
          </w:p>
        </w:tc>
      </w:tr>
      <w:tr>
        <w:tc>
          <w:tcPr>
            <w:tcW w:type="dxa" w:w="1008"/>
            <w:vAlign w:val="center"/>
            <w:shd w:fill="F7F9FB"/>
          </w:tcPr>
          <w:p>
            <w:r/>
            <w:r>
              <w:rPr>
                <w:rFonts w:ascii="Arial" w:hAnsi="Arial"/>
                <w:b w:val="0"/>
                <w:color w:val="26323F"/>
                <w:sz w:val="16"/>
              </w:rPr>
              <w:t>V</w:t>
            </w:r>
          </w:p>
        </w:tc>
        <w:tc>
          <w:tcPr>
            <w:tcW w:type="dxa" w:w="4320"/>
            <w:vAlign w:val="center"/>
            <w:shd w:fill="F7F9FB"/>
          </w:tcPr>
          <w:p>
            <w:r/>
            <w:r>
              <w:rPr>
                <w:rFonts w:ascii="Arial" w:hAnsi="Arial"/>
                <w:b w:val="0"/>
                <w:color w:val="26323F"/>
                <w:sz w:val="16"/>
              </w:rPr>
              <w:t>Plan 300K y 2027</w:t>
            </w:r>
          </w:p>
        </w:tc>
        <w:tc>
          <w:tcPr>
            <w:tcW w:type="dxa" w:w="4320"/>
            <w:vAlign w:val="center"/>
            <w:shd w:fill="F7F9FB"/>
          </w:tcPr>
          <w:p>
            <w:r/>
            <w:r>
              <w:rPr>
                <w:rFonts w:ascii="Arial" w:hAnsi="Arial"/>
                <w:b w:val="0"/>
                <w:color w:val="26323F"/>
                <w:sz w:val="16"/>
              </w:rPr>
              <w:t>Identificar qué compra el tramo inmediato y con qué gates.</w:t>
            </w:r>
          </w:p>
        </w:tc>
      </w:tr>
      <w:tr>
        <w:tc>
          <w:tcPr>
            <w:tcW w:type="dxa" w:w="1008"/>
            <w:vAlign w:val="center"/>
          </w:tcPr>
          <w:p>
            <w:r/>
            <w:r>
              <w:rPr>
                <w:rFonts w:ascii="Arial" w:hAnsi="Arial"/>
                <w:b w:val="0"/>
                <w:color w:val="26323F"/>
                <w:sz w:val="16"/>
              </w:rPr>
              <w:t>VI</w:t>
            </w:r>
          </w:p>
        </w:tc>
        <w:tc>
          <w:tcPr>
            <w:tcW w:type="dxa" w:w="4320"/>
            <w:vAlign w:val="center"/>
          </w:tcPr>
          <w:p>
            <w:r/>
            <w:r>
              <w:rPr>
                <w:rFonts w:ascii="Arial" w:hAnsi="Arial"/>
                <w:b w:val="0"/>
                <w:color w:val="26323F"/>
                <w:sz w:val="16"/>
              </w:rPr>
              <w:t>Plan CUEVA Total 2030</w:t>
            </w:r>
          </w:p>
        </w:tc>
        <w:tc>
          <w:tcPr>
            <w:tcW w:type="dxa" w:w="4320"/>
            <w:vAlign w:val="center"/>
          </w:tcPr>
          <w:p>
            <w:r/>
            <w:r>
              <w:rPr>
                <w:rFonts w:ascii="Arial" w:hAnsi="Arial"/>
                <w:b w:val="0"/>
                <w:color w:val="26323F"/>
                <w:sz w:val="16"/>
              </w:rPr>
              <w:t>Diferenciar plan obligatorio de Scale Case condicionado.</w:t>
            </w:r>
          </w:p>
        </w:tc>
      </w:tr>
      <w:tr>
        <w:tc>
          <w:tcPr>
            <w:tcW w:type="dxa" w:w="1008"/>
            <w:vAlign w:val="center"/>
            <w:shd w:fill="F7F9FB"/>
          </w:tcPr>
          <w:p>
            <w:r/>
            <w:r>
              <w:rPr>
                <w:rFonts w:ascii="Arial" w:hAnsi="Arial"/>
                <w:b w:val="0"/>
                <w:color w:val="26323F"/>
                <w:sz w:val="16"/>
              </w:rPr>
              <w:t>VII</w:t>
            </w:r>
          </w:p>
        </w:tc>
        <w:tc>
          <w:tcPr>
            <w:tcW w:type="dxa" w:w="4320"/>
            <w:vAlign w:val="center"/>
            <w:shd w:fill="F7F9FB"/>
          </w:tcPr>
          <w:p>
            <w:r/>
            <w:r>
              <w:rPr>
                <w:rFonts w:ascii="Arial" w:hAnsi="Arial"/>
                <w:b w:val="0"/>
                <w:color w:val="26323F"/>
                <w:sz w:val="16"/>
              </w:rPr>
              <w:t>Valoración, riesgos y operación inversora</w:t>
            </w:r>
          </w:p>
        </w:tc>
        <w:tc>
          <w:tcPr>
            <w:tcW w:type="dxa" w:w="4320"/>
            <w:vAlign w:val="center"/>
            <w:shd w:fill="F7F9FB"/>
          </w:tcPr>
          <w:p>
            <w:r/>
            <w:r>
              <w:rPr>
                <w:rFonts w:ascii="Arial" w:hAnsi="Arial"/>
                <w:b w:val="0"/>
                <w:color w:val="26323F"/>
                <w:sz w:val="16"/>
              </w:rPr>
              <w:t>Aterrizar rango, hitos, riesgos y documentación de soporte.</w:t>
            </w:r>
          </w:p>
        </w:tc>
      </w:tr>
    </w:tbl>
    <w:p/>
    <w:p>
      <w:pPr>
        <w:pStyle w:val="Heading1"/>
      </w:pPr>
      <w:r>
        <w:rPr>
          <w:rFonts w:ascii="Arial" w:hAnsi="Arial"/>
          <w:color w:val="0B1F33"/>
        </w:rPr>
        <w:t>1. Resumen ejecutivo y tesis de inversión</w:t>
      </w:r>
    </w:p>
    <w:p>
      <w:pPr>
        <w:spacing w:line="271" w:lineRule="auto" w:after="120"/>
      </w:pPr>
      <w:r>
        <w:rPr>
          <w:rFonts w:ascii="Arial" w:hAnsi="Arial"/>
          <w:color w:val="26323F"/>
          <w:sz w:val="20"/>
        </w:rPr>
        <w:t>CUEVA es la evolución de más de una década de desarrollo técnico, industrial, digital y comercial: un Sistema Operativo del Activo Construido Verificable que convierte diseño, fabricación, logística, montaje, evidencia, documentación y operación en una red de activos vivos, identificados y explotables.</w:t>
      </w:r>
    </w:p>
    <w:p>
      <w:pPr>
        <w:spacing w:line="271" w:lineRule="auto" w:after="120"/>
      </w:pPr>
      <w:r>
        <w:rPr>
          <w:rFonts w:ascii="Arial" w:hAnsi="Arial"/>
          <w:color w:val="26323F"/>
          <w:sz w:val="20"/>
        </w:rPr>
        <w:t>La tesis de inversión se articula en tres niveles encadenados por hitos verificables. Primero, un valor actual defendido de 4.216.174,70 €, construido por inversión acumulada y activo técnico-producto. Segundo, un plan inmediato de 300.000 € para convertir ese activo en compañía comercializable, medible y financiable. Tercero, un plan CUEVA Total 2030 que escala la red si se cumplen los gates de producto, contratos, caja, partners y capital.</w:t>
      </w:r>
    </w:p>
    <w:p>
      <w:pPr>
        <w:spacing w:line="271" w:lineRule="auto" w:after="120"/>
      </w:pPr>
      <w:r>
        <w:rPr>
          <w:rFonts w:ascii="Arial" w:hAnsi="Arial"/>
          <w:b/>
          <w:color w:val="0B1F33"/>
          <w:sz w:val="20"/>
        </w:rPr>
        <w:t xml:space="preserve">No vendemos una promesa de 1.000 M€. </w:t>
      </w:r>
      <w:r>
        <w:rPr>
          <w:rFonts w:ascii="Arial" w:hAnsi="Arial"/>
          <w:color w:val="26323F"/>
          <w:sz w:val="20"/>
        </w:rPr>
        <w:t xml:space="preserve">Mensaje de defensa. </w:t>
      </w:r>
    </w:p>
    <w:p>
      <w:pPr>
        <w:spacing w:line="271" w:lineRule="auto" w:after="120"/>
      </w:pPr>
      <w:r>
        <w:rPr>
          <w:rFonts w:ascii="Arial" w:hAnsi="Arial"/>
          <w:color w:val="26323F"/>
          <w:sz w:val="20"/>
        </w:rPr>
        <w:t>Vendemos una compañía con valor actual defendido de 4,216 M€, un plan 300K para alcanzar una posición 2027 mucho más robusta y una opción real de escala 2030 que solo se desbloquea si los hitos se cumplen. El capital inmediato no compra el escenario unicornio; compra la opción verificable de construirlo.</w:t>
      </w:r>
    </w:p>
    <w:p>
      <w:pPr>
        <w:jc w:val="center"/>
      </w:pPr>
      <w:r>
        <w:drawing>
          <wp:inline xmlns:a="http://schemas.openxmlformats.org/drawingml/2006/main" xmlns:pic="http://schemas.openxmlformats.org/drawingml/2006/picture">
            <wp:extent cx="6355080" cy="3707130"/>
            <wp:docPr id="3" name="Picture 3"/>
            <wp:cNvGraphicFramePr>
              <a:graphicFrameLocks noChangeAspect="1"/>
            </wp:cNvGraphicFramePr>
            <a:graphic>
              <a:graphicData uri="http://schemas.openxmlformats.org/drawingml/2006/picture">
                <pic:pic>
                  <pic:nvPicPr>
                    <pic:cNvPr id="0" name="02_asset_os_architecture.png"/>
                    <pic:cNvPicPr/>
                  </pic:nvPicPr>
                  <pic:blipFill>
                    <a:blip r:embed="rId12"/>
                    <a:stretch>
                      <a:fillRect/>
                    </a:stretch>
                  </pic:blipFill>
                  <pic:spPr>
                    <a:xfrm>
                      <a:off x="0" y="0"/>
                      <a:ext cx="6355080" cy="3707130"/>
                    </a:xfrm>
                    <a:prstGeom prst="rect"/>
                  </pic:spPr>
                </pic:pic>
              </a:graphicData>
            </a:graphic>
          </wp:inline>
        </w:drawing>
      </w:r>
    </w:p>
    <w:p>
      <w:pPr>
        <w:spacing w:after="160"/>
        <w:jc w:val="center"/>
      </w:pPr>
      <w:r>
        <w:rPr>
          <w:rFonts w:ascii="Arial" w:hAnsi="Arial"/>
          <w:i/>
          <w:color w:val="667085"/>
          <w:sz w:val="17"/>
        </w:rPr>
        <w:t>Figura 1. CUEVA como capa operativa continua sobre el activo físico.</w:t>
      </w:r>
    </w:p>
    <w:p>
      <w:pPr>
        <w:pStyle w:val="Heading1"/>
      </w:pPr>
      <w:r>
        <w:rPr>
          <w:rFonts w:ascii="Arial" w:hAnsi="Arial"/>
          <w:color w:val="0B1F33"/>
        </w:rPr>
        <w:t>2. Qué es CUEVA y qué no es</w:t>
      </w:r>
    </w:p>
    <w:tbl>
      <w:tblPr>
        <w:tblStyle w:val="TableGrid"/>
        <w:tblW w:type="auto" w:w="0"/>
        <w:tblLook w:firstColumn="1" w:firstRow="1" w:lastColumn="0" w:lastRow="0" w:noHBand="0" w:noVBand="1" w:val="04A0"/>
      </w:tblPr>
      <w:tblGrid>
        <w:gridCol w:w="5184"/>
        <w:gridCol w:w="5184"/>
      </w:tblGrid>
      <w:tr>
        <w:tc>
          <w:tcPr>
            <w:tcW w:type="dxa" w:w="4680"/>
            <w:vAlign w:val="center"/>
            <w:shd w:fill="0B1F33"/>
          </w:tcPr>
          <w:p>
            <w:r/>
            <w:r>
              <w:rPr>
                <w:rFonts w:ascii="Arial" w:hAnsi="Arial"/>
                <w:b/>
                <w:color w:val="FFFFFF"/>
                <w:sz w:val="16"/>
              </w:rPr>
              <w:t>CUEVA es</w:t>
            </w:r>
          </w:p>
        </w:tc>
        <w:tc>
          <w:tcPr>
            <w:tcW w:type="dxa" w:w="4680"/>
            <w:vAlign w:val="center"/>
            <w:shd w:fill="0B1F33"/>
          </w:tcPr>
          <w:p>
            <w:r/>
            <w:r>
              <w:rPr>
                <w:rFonts w:ascii="Arial" w:hAnsi="Arial"/>
                <w:b/>
                <w:color w:val="FFFFFF"/>
                <w:sz w:val="16"/>
              </w:rPr>
              <w:t>CUEVA no debe defenderse como</w:t>
            </w:r>
          </w:p>
        </w:tc>
      </w:tr>
      <w:tr>
        <w:tc>
          <w:tcPr>
            <w:tcW w:type="dxa" w:w="4680"/>
            <w:vAlign w:val="center"/>
            <w:shd w:fill="F7F9FB"/>
          </w:tcPr>
          <w:p>
            <w:r/>
            <w:r>
              <w:rPr>
                <w:rFonts w:ascii="Arial" w:hAnsi="Arial"/>
                <w:b w:val="0"/>
                <w:color w:val="26323F"/>
                <w:sz w:val="16"/>
              </w:rPr>
              <w:t>Una red de activos construidos identificados, probados y operables.</w:t>
            </w:r>
          </w:p>
        </w:tc>
        <w:tc>
          <w:tcPr>
            <w:tcW w:type="dxa" w:w="4680"/>
            <w:vAlign w:val="center"/>
            <w:shd w:fill="F7F9FB"/>
          </w:tcPr>
          <w:p>
            <w:r/>
            <w:r>
              <w:rPr>
                <w:rFonts w:ascii="Arial" w:hAnsi="Arial"/>
                <w:b w:val="0"/>
                <w:color w:val="26323F"/>
                <w:sz w:val="16"/>
              </w:rPr>
              <w:t>Una constructora tradicional con margen de obra.</w:t>
            </w:r>
          </w:p>
        </w:tc>
      </w:tr>
      <w:tr>
        <w:tc>
          <w:tcPr>
            <w:tcW w:type="dxa" w:w="4680"/>
            <w:vAlign w:val="center"/>
          </w:tcPr>
          <w:p>
            <w:r/>
            <w:r>
              <w:rPr>
                <w:rFonts w:ascii="Arial" w:hAnsi="Arial"/>
                <w:b w:val="0"/>
                <w:color w:val="26323F"/>
                <w:sz w:val="16"/>
              </w:rPr>
              <w:t>Una capa de identidad, POI, DPP, datos, mantenimiento y financiación futura.</w:t>
            </w:r>
          </w:p>
        </w:tc>
        <w:tc>
          <w:tcPr>
            <w:tcW w:type="dxa" w:w="4680"/>
            <w:vAlign w:val="center"/>
          </w:tcPr>
          <w:p>
            <w:r/>
            <w:r>
              <w:rPr>
                <w:rFonts w:ascii="Arial" w:hAnsi="Arial"/>
                <w:b w:val="0"/>
                <w:color w:val="26323F"/>
                <w:sz w:val="16"/>
              </w:rPr>
              <w:t>Un software genérico de gestión de obra.</w:t>
            </w:r>
          </w:p>
        </w:tc>
      </w:tr>
      <w:tr>
        <w:tc>
          <w:tcPr>
            <w:tcW w:type="dxa" w:w="4680"/>
            <w:vAlign w:val="center"/>
            <w:shd w:fill="F7F9FB"/>
          </w:tcPr>
          <w:p>
            <w:r/>
            <w:r>
              <w:rPr>
                <w:rFonts w:ascii="Arial" w:hAnsi="Arial"/>
                <w:b w:val="0"/>
                <w:color w:val="26323F"/>
                <w:sz w:val="16"/>
              </w:rPr>
              <w:t>Un sistema de industrialización, evidencia y gobernanza físico-digital.</w:t>
            </w:r>
          </w:p>
        </w:tc>
        <w:tc>
          <w:tcPr>
            <w:tcW w:type="dxa" w:w="4680"/>
            <w:vAlign w:val="center"/>
            <w:shd w:fill="F7F9FB"/>
          </w:tcPr>
          <w:p>
            <w:r/>
            <w:r>
              <w:rPr>
                <w:rFonts w:ascii="Arial" w:hAnsi="Arial"/>
                <w:b w:val="0"/>
                <w:color w:val="26323F"/>
                <w:sz w:val="16"/>
              </w:rPr>
              <w:t>Un claim abstracto de plataforma universal sin foco.</w:t>
            </w:r>
          </w:p>
        </w:tc>
      </w:tr>
      <w:tr>
        <w:tc>
          <w:tcPr>
            <w:tcW w:type="dxa" w:w="4680"/>
            <w:vAlign w:val="center"/>
          </w:tcPr>
          <w:p>
            <w:r/>
            <w:r>
              <w:rPr>
                <w:rFonts w:ascii="Arial" w:hAnsi="Arial"/>
                <w:b w:val="0"/>
                <w:color w:val="26323F"/>
                <w:sz w:val="16"/>
              </w:rPr>
              <w:t>Un modelo con implementación, activación, evidencia, licencias, datos y stock vivo.</w:t>
            </w:r>
          </w:p>
        </w:tc>
        <w:tc>
          <w:tcPr>
            <w:tcW w:type="dxa" w:w="4680"/>
            <w:vAlign w:val="center"/>
          </w:tcPr>
          <w:p>
            <w:r/>
            <w:r>
              <w:rPr>
                <w:rFonts w:ascii="Arial" w:hAnsi="Arial"/>
                <w:b w:val="0"/>
                <w:color w:val="26323F"/>
                <w:sz w:val="16"/>
              </w:rPr>
              <w:t>Un royalty industrial opaco cargado al partner.</w:t>
            </w:r>
          </w:p>
        </w:tc>
      </w:tr>
    </w:tbl>
    <w:p/>
    <w:p>
      <w:pPr>
        <w:spacing w:line="271" w:lineRule="auto" w:after="120"/>
      </w:pPr>
      <w:r>
        <w:rPr>
          <w:rFonts w:ascii="Arial" w:hAnsi="Arial"/>
          <w:color w:val="26323F"/>
          <w:sz w:val="20"/>
        </w:rPr>
        <w:t>La categoría correcta es Evidence-Verified Construction Asset OS: infraestructura de emisión, prueba y operación de activos construidos. El núcleo no es fabricar; es convertir cada pieza, lote, m², instalación, mantenimiento, reposición y evento de vida útil en evidencia explotable por clientes, administraciones, financiadores, aseguradoras, certificadoras, licenciatarios y operadores.</w:t>
      </w:r>
    </w:p>
    <w:p>
      <w:pPr>
        <w:spacing w:line="271" w:lineRule="auto" w:after="120"/>
      </w:pPr>
      <w:r>
        <w:rPr>
          <w:rFonts w:ascii="Arial" w:hAnsi="Arial"/>
          <w:color w:val="26323F"/>
          <w:sz w:val="20"/>
        </w:rPr>
        <w:t>La lógica del volumen es simple: el m² es el combustible, la evidencia es el margen, el stock vivo es el multiplicador y los servicios de datos/operación son la opción de breakout. CUEVA escala porque cada metro construido entra en una red de evidencia, mantenimiento, datos y servicios.</w:t>
      </w:r>
    </w:p>
    <w:p>
      <w:pPr>
        <w:pStyle w:val="Heading1"/>
      </w:pPr>
      <w:r>
        <w:rPr>
          <w:rFonts w:ascii="Arial" w:hAnsi="Arial"/>
          <w:color w:val="0B1F33"/>
        </w:rPr>
        <w:t>3. Contexto sectorial y momento regulatorio</w:t>
      </w:r>
    </w:p>
    <w:p>
      <w:pPr>
        <w:spacing w:line="271" w:lineRule="auto" w:after="120"/>
      </w:pPr>
      <w:r>
        <w:rPr>
          <w:rFonts w:ascii="Arial" w:hAnsi="Arial"/>
          <w:color w:val="26323F"/>
          <w:sz w:val="20"/>
        </w:rPr>
        <w:t>El sector está entrando en una etapa donde la trazabilidad, los datos de producto, la circularidad, el mantenimiento y la documentación verificable dejan de ser elementos accesorios. CUEVA llega con POI, DPP, Asset ID, workflows y Carpeta Madre como producto, no como promesa a desarrollar desde cero.</w:t>
      </w:r>
    </w:p>
    <w:tbl>
      <w:tblPr>
        <w:tblStyle w:val="TableGrid"/>
        <w:tblW w:type="auto" w:w="0"/>
        <w:tblLook w:firstColumn="1" w:firstRow="1" w:lastColumn="0" w:lastRow="0" w:noHBand="0" w:noVBand="1" w:val="04A0"/>
      </w:tblPr>
      <w:tblGrid>
        <w:gridCol w:w="3456"/>
        <w:gridCol w:w="3456"/>
        <w:gridCol w:w="3456"/>
      </w:tblGrid>
      <w:tr>
        <w:tc>
          <w:tcPr>
            <w:tcW w:type="dxa" w:w="2160"/>
            <w:vAlign w:val="center"/>
            <w:shd w:fill="0B1F33"/>
          </w:tcPr>
          <w:p>
            <w:r/>
            <w:r>
              <w:rPr>
                <w:rFonts w:ascii="Arial" w:hAnsi="Arial"/>
                <w:b/>
                <w:color w:val="FFFFFF"/>
                <w:sz w:val="16"/>
              </w:rPr>
              <w:t>Viento de cola</w:t>
            </w:r>
          </w:p>
        </w:tc>
        <w:tc>
          <w:tcPr>
            <w:tcW w:type="dxa" w:w="2592"/>
            <w:vAlign w:val="center"/>
            <w:shd w:fill="0B1F33"/>
          </w:tcPr>
          <w:p>
            <w:r/>
            <w:r>
              <w:rPr>
                <w:rFonts w:ascii="Arial" w:hAnsi="Arial"/>
                <w:b/>
                <w:color w:val="FFFFFF"/>
                <w:sz w:val="16"/>
              </w:rPr>
              <w:t>Fuente</w:t>
            </w:r>
          </w:p>
        </w:tc>
        <w:tc>
          <w:tcPr>
            <w:tcW w:type="dxa" w:w="4896"/>
            <w:vAlign w:val="center"/>
            <w:shd w:fill="0B1F33"/>
          </w:tcPr>
          <w:p>
            <w:r/>
            <w:r>
              <w:rPr>
                <w:rFonts w:ascii="Arial" w:hAnsi="Arial"/>
                <w:b/>
                <w:color w:val="FFFFFF"/>
                <w:sz w:val="16"/>
              </w:rPr>
              <w:t>Lectura para CUEVA</w:t>
            </w:r>
          </w:p>
        </w:tc>
      </w:tr>
      <w:tr>
        <w:tc>
          <w:tcPr>
            <w:tcW w:type="dxa" w:w="2160"/>
            <w:vAlign w:val="center"/>
            <w:shd w:fill="F7F9FB"/>
          </w:tcPr>
          <w:p>
            <w:r/>
            <w:r>
              <w:rPr>
                <w:rFonts w:ascii="Arial" w:hAnsi="Arial"/>
                <w:b w:val="0"/>
                <w:color w:val="26323F"/>
                <w:sz w:val="16"/>
              </w:rPr>
              <w:t>Data Act</w:t>
            </w:r>
          </w:p>
        </w:tc>
        <w:tc>
          <w:tcPr>
            <w:tcW w:type="dxa" w:w="2592"/>
            <w:vAlign w:val="center"/>
            <w:shd w:fill="F7F9FB"/>
          </w:tcPr>
          <w:p>
            <w:r/>
            <w:r>
              <w:rPr>
                <w:rFonts w:ascii="Arial" w:hAnsi="Arial"/>
                <w:b w:val="0"/>
                <w:color w:val="26323F"/>
                <w:sz w:val="16"/>
              </w:rPr>
              <w:t>Reglamento (UE) 2023/2854</w:t>
            </w:r>
          </w:p>
        </w:tc>
        <w:tc>
          <w:tcPr>
            <w:tcW w:type="dxa" w:w="4896"/>
            <w:vAlign w:val="center"/>
            <w:shd w:fill="F7F9FB"/>
          </w:tcPr>
          <w:p>
            <w:r/>
            <w:r>
              <w:rPr>
                <w:rFonts w:ascii="Arial" w:hAnsi="Arial"/>
                <w:b w:val="0"/>
                <w:color w:val="26323F"/>
                <w:sz w:val="16"/>
              </w:rPr>
              <w:t>Aplicable desde 12/09/2025; obligación de diseño de acceso a datos para productos conectados desde 12/09/2026.</w:t>
            </w:r>
          </w:p>
        </w:tc>
      </w:tr>
      <w:tr>
        <w:tc>
          <w:tcPr>
            <w:tcW w:type="dxa" w:w="2160"/>
            <w:vAlign w:val="center"/>
          </w:tcPr>
          <w:p>
            <w:r/>
            <w:r>
              <w:rPr>
                <w:rFonts w:ascii="Arial" w:hAnsi="Arial"/>
                <w:b w:val="0"/>
                <w:color w:val="26323F"/>
                <w:sz w:val="16"/>
              </w:rPr>
              <w:t>ESPR / ecodiseño</w:t>
            </w:r>
          </w:p>
        </w:tc>
        <w:tc>
          <w:tcPr>
            <w:tcW w:type="dxa" w:w="2592"/>
            <w:vAlign w:val="center"/>
          </w:tcPr>
          <w:p>
            <w:r/>
            <w:r>
              <w:rPr>
                <w:rFonts w:ascii="Arial" w:hAnsi="Arial"/>
                <w:b w:val="0"/>
                <w:color w:val="26323F"/>
                <w:sz w:val="16"/>
              </w:rPr>
              <w:t>Reglamento (UE) 2024/1781</w:t>
            </w:r>
          </w:p>
        </w:tc>
        <w:tc>
          <w:tcPr>
            <w:tcW w:type="dxa" w:w="4896"/>
            <w:vAlign w:val="center"/>
          </w:tcPr>
          <w:p>
            <w:r/>
            <w:r>
              <w:rPr>
                <w:rFonts w:ascii="Arial" w:hAnsi="Arial"/>
                <w:b w:val="0"/>
                <w:color w:val="26323F"/>
                <w:sz w:val="16"/>
              </w:rPr>
              <w:t>Marco para requisitos de sostenibilidad y pasaporte digital de producto mediante actos delegados por grupos de producto.</w:t>
            </w:r>
          </w:p>
        </w:tc>
      </w:tr>
    </w:tbl>
    <w:p/>
    <w:p>
      <w:pPr>
        <w:spacing w:after="100"/>
        <w:ind w:left="216"/>
      </w:pPr>
      <w:r>
        <w:rPr>
          <w:rFonts w:ascii="Arial" w:hAnsi="Arial"/>
          <w:i/>
          <w:color w:val="667085"/>
          <w:sz w:val="17"/>
        </w:rPr>
        <w:t>Fuentes oficiales consultadas: EUR-Lex/Data Act y EUR-Lex/ESPR. Los claims regulatorios concretos deben revisarse siempre antes de usarse en contrato o material comercial.</w:t>
      </w:r>
    </w:p>
    <w:p>
      <w:pPr>
        <w:pStyle w:val="Heading1"/>
      </w:pPr>
      <w:r>
        <w:rPr>
          <w:rFonts w:ascii="Arial" w:hAnsi="Arial"/>
          <w:color w:val="0B1F33"/>
        </w:rPr>
        <w:t>4. Valoración de partida: 4.216.174,70 €</w:t>
      </w:r>
    </w:p>
    <w:p>
      <w:pPr>
        <w:spacing w:line="271" w:lineRule="auto" w:after="120"/>
      </w:pPr>
      <w:r>
        <w:rPr>
          <w:rFonts w:ascii="Arial" w:hAnsi="Arial"/>
          <w:color w:val="26323F"/>
          <w:sz w:val="20"/>
        </w:rPr>
        <w:t>La valoración actual no descansa en previsiones de caja. Descansa en coste de construcción de activo, profundidad técnica, presupuestos externos de I+D, aprendizaje acumulado, producto modular, casos y relaciones. Se formula como valor interno razonado, no como tasación independiente.</w:t>
      </w:r>
    </w:p>
    <w:p>
      <w:pPr>
        <w:spacing w:line="271" w:lineRule="auto" w:after="120"/>
      </w:pPr>
      <w:r>
        <w:rPr>
          <w:rFonts w:ascii="Arial" w:hAnsi="Arial"/>
          <w:color w:val="26323F"/>
          <w:sz w:val="20"/>
        </w:rPr>
        <w:t>La defensa se organiza en tres etapas: fundación conceptual 2012/13-2018; desarrollo EDRO/CEREBRO 2019-2022/23; productización CUEVA OS desde 2023. La clave no es mostrar una cifra agregada, sino explicar qué capacidad concreta se creó y cómo se monetiza hoy.</w:t>
      </w:r>
    </w:p>
    <w:p>
      <w:pPr>
        <w:jc w:val="center"/>
      </w:pPr>
      <w:r>
        <w:drawing>
          <wp:inline xmlns:a="http://schemas.openxmlformats.org/drawingml/2006/main" xmlns:pic="http://schemas.openxmlformats.org/drawingml/2006/picture">
            <wp:extent cx="6355080" cy="3707130"/>
            <wp:docPr id="4" name="Picture 4"/>
            <wp:cNvGraphicFramePr>
              <a:graphicFrameLocks noChangeAspect="1"/>
            </wp:cNvGraphicFramePr>
            <a:graphic>
              <a:graphicData uri="http://schemas.openxmlformats.org/drawingml/2006/picture">
                <pic:pic>
                  <pic:nvPicPr>
                    <pic:cNvPr id="0" name="03_investment_families.png"/>
                    <pic:cNvPicPr/>
                  </pic:nvPicPr>
                  <pic:blipFill>
                    <a:blip r:embed="rId13"/>
                    <a:stretch>
                      <a:fillRect/>
                    </a:stretch>
                  </pic:blipFill>
                  <pic:spPr>
                    <a:xfrm>
                      <a:off x="0" y="0"/>
                      <a:ext cx="6355080" cy="3707130"/>
                    </a:xfrm>
                    <a:prstGeom prst="rect"/>
                  </pic:spPr>
                </pic:pic>
              </a:graphicData>
            </a:graphic>
          </wp:inline>
        </w:drawing>
      </w:r>
    </w:p>
    <w:p>
      <w:pPr>
        <w:spacing w:after="160"/>
        <w:jc w:val="center"/>
      </w:pPr>
      <w:r>
        <w:rPr>
          <w:rFonts w:ascii="Arial" w:hAnsi="Arial"/>
          <w:i/>
          <w:color w:val="667085"/>
          <w:sz w:val="17"/>
        </w:rPr>
        <w:t>Figura 2. Inversión acumulada por familias técnicas y TRL de lectura actual.</w:t>
      </w:r>
    </w:p>
    <w:p>
      <w:pPr>
        <w:pStyle w:val="Heading2"/>
      </w:pPr>
      <w:r>
        <w:rPr>
          <w:rFonts w:ascii="Arial" w:hAnsi="Arial"/>
          <w:color w:val="0B1F33"/>
        </w:rPr>
        <w:t>4.1. Familias técnicas de inversión</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88"/>
            <w:vAlign w:val="center"/>
            <w:shd w:fill="0B1F33"/>
          </w:tcPr>
          <w:p>
            <w:r/>
            <w:r>
              <w:rPr>
                <w:rFonts w:ascii="Arial" w:hAnsi="Arial"/>
                <w:b/>
                <w:color w:val="FFFFFF"/>
                <w:sz w:val="14"/>
              </w:rPr>
              <w:t>Familia</w:t>
            </w:r>
          </w:p>
        </w:tc>
        <w:tc>
          <w:tcPr>
            <w:tcW w:type="dxa" w:w="1368"/>
            <w:vAlign w:val="center"/>
            <w:shd w:fill="0B1F33"/>
          </w:tcPr>
          <w:p>
            <w:r/>
            <w:r>
              <w:rPr>
                <w:rFonts w:ascii="Arial" w:hAnsi="Arial"/>
                <w:b/>
                <w:color w:val="FFFFFF"/>
                <w:sz w:val="14"/>
              </w:rPr>
              <w:t>Periodo</w:t>
            </w:r>
          </w:p>
        </w:tc>
        <w:tc>
          <w:tcPr>
            <w:tcW w:type="dxa" w:w="1440"/>
            <w:vAlign w:val="center"/>
            <w:shd w:fill="0B1F33"/>
          </w:tcPr>
          <w:p>
            <w:r/>
            <w:r>
              <w:rPr>
                <w:rFonts w:ascii="Arial" w:hAnsi="Arial"/>
                <w:b/>
                <w:color w:val="FFFFFF"/>
                <w:sz w:val="14"/>
              </w:rPr>
              <w:t>Inversión</w:t>
            </w:r>
          </w:p>
        </w:tc>
        <w:tc>
          <w:tcPr>
            <w:tcW w:type="dxa" w:w="720"/>
            <w:vAlign w:val="center"/>
            <w:shd w:fill="0B1F33"/>
          </w:tcPr>
          <w:p>
            <w:r/>
            <w:r>
              <w:rPr>
                <w:rFonts w:ascii="Arial" w:hAnsi="Arial"/>
                <w:b/>
                <w:color w:val="FFFFFF"/>
                <w:sz w:val="14"/>
              </w:rPr>
              <w:t>TRL</w:t>
            </w:r>
          </w:p>
        </w:tc>
        <w:tc>
          <w:tcPr>
            <w:tcW w:type="dxa" w:w="4464"/>
            <w:vAlign w:val="center"/>
            <w:shd w:fill="0B1F33"/>
          </w:tcPr>
          <w:p>
            <w:r/>
            <w:r>
              <w:rPr>
                <w:rFonts w:ascii="Arial" w:hAnsi="Arial"/>
                <w:b/>
                <w:color w:val="FFFFFF"/>
                <w:sz w:val="14"/>
              </w:rPr>
              <w:t>Lectura de producto</w:t>
            </w:r>
          </w:p>
        </w:tc>
      </w:tr>
      <w:tr>
        <w:tc>
          <w:tcPr>
            <w:tcW w:type="dxa" w:w="2088"/>
            <w:vAlign w:val="center"/>
            <w:shd w:fill="F7F9FB"/>
          </w:tcPr>
          <w:p>
            <w:r/>
            <w:r>
              <w:rPr>
                <w:rFonts w:ascii="Arial" w:hAnsi="Arial"/>
                <w:b w:val="0"/>
                <w:color w:val="26323F"/>
                <w:sz w:val="14"/>
              </w:rPr>
              <w:t>Fundación técnica</w:t>
            </w:r>
          </w:p>
        </w:tc>
        <w:tc>
          <w:tcPr>
            <w:tcW w:type="dxa" w:w="1368"/>
            <w:vAlign w:val="center"/>
            <w:shd w:fill="F7F9FB"/>
          </w:tcPr>
          <w:p>
            <w:r/>
            <w:r>
              <w:rPr>
                <w:rFonts w:ascii="Arial" w:hAnsi="Arial"/>
                <w:b w:val="0"/>
                <w:color w:val="26323F"/>
                <w:sz w:val="14"/>
              </w:rPr>
              <w:t>2012/13-2018</w:t>
            </w:r>
          </w:p>
        </w:tc>
        <w:tc>
          <w:tcPr>
            <w:tcW w:type="dxa" w:w="1440"/>
            <w:vAlign w:val="center"/>
            <w:shd w:fill="F7F9FB"/>
          </w:tcPr>
          <w:p>
            <w:r/>
            <w:r>
              <w:rPr>
                <w:rFonts w:ascii="Arial" w:hAnsi="Arial"/>
                <w:b w:val="0"/>
                <w:color w:val="26323F"/>
                <w:sz w:val="14"/>
              </w:rPr>
              <w:t>425.000,00 €</w:t>
            </w:r>
          </w:p>
        </w:tc>
        <w:tc>
          <w:tcPr>
            <w:tcW w:type="dxa" w:w="720"/>
            <w:vAlign w:val="center"/>
            <w:shd w:fill="F7F9FB"/>
          </w:tcPr>
          <w:p>
            <w:r/>
            <w:r>
              <w:rPr>
                <w:rFonts w:ascii="Arial" w:hAnsi="Arial"/>
                <w:b w:val="0"/>
                <w:color w:val="26323F"/>
                <w:sz w:val="14"/>
              </w:rPr>
              <w:t>8/9</w:t>
            </w:r>
          </w:p>
        </w:tc>
        <w:tc>
          <w:tcPr>
            <w:tcW w:type="dxa" w:w="4464"/>
            <w:vAlign w:val="center"/>
            <w:shd w:fill="F7F9FB"/>
          </w:tcPr>
          <w:p>
            <w:r/>
            <w:r>
              <w:rPr>
                <w:rFonts w:ascii="Arial" w:hAnsi="Arial"/>
                <w:b w:val="0"/>
                <w:color w:val="26323F"/>
                <w:sz w:val="14"/>
              </w:rPr>
              <w:t>Reglas de dominio, geometría, mecánicas, arquitectura y método base.</w:t>
            </w:r>
          </w:p>
        </w:tc>
      </w:tr>
      <w:tr>
        <w:tc>
          <w:tcPr>
            <w:tcW w:type="dxa" w:w="2088"/>
            <w:vAlign w:val="center"/>
          </w:tcPr>
          <w:p>
            <w:r/>
            <w:r>
              <w:rPr>
                <w:rFonts w:ascii="Arial" w:hAnsi="Arial"/>
                <w:b w:val="0"/>
                <w:color w:val="26323F"/>
                <w:sz w:val="14"/>
              </w:rPr>
              <w:t>Sistema físico + DfMA</w:t>
            </w:r>
          </w:p>
        </w:tc>
        <w:tc>
          <w:tcPr>
            <w:tcW w:type="dxa" w:w="1368"/>
            <w:vAlign w:val="center"/>
          </w:tcPr>
          <w:p>
            <w:r/>
            <w:r>
              <w:rPr>
                <w:rFonts w:ascii="Arial" w:hAnsi="Arial"/>
                <w:b w:val="0"/>
                <w:color w:val="26323F"/>
                <w:sz w:val="14"/>
              </w:rPr>
              <w:t>2019-2022/23</w:t>
            </w:r>
          </w:p>
        </w:tc>
        <w:tc>
          <w:tcPr>
            <w:tcW w:type="dxa" w:w="1440"/>
            <w:vAlign w:val="center"/>
          </w:tcPr>
          <w:p>
            <w:r/>
            <w:r>
              <w:rPr>
                <w:rFonts w:ascii="Arial" w:hAnsi="Arial"/>
                <w:b w:val="0"/>
                <w:color w:val="26323F"/>
                <w:sz w:val="14"/>
              </w:rPr>
              <w:t>273.326,40 €</w:t>
            </w:r>
          </w:p>
        </w:tc>
        <w:tc>
          <w:tcPr>
            <w:tcW w:type="dxa" w:w="720"/>
            <w:vAlign w:val="center"/>
          </w:tcPr>
          <w:p>
            <w:r/>
            <w:r>
              <w:rPr>
                <w:rFonts w:ascii="Arial" w:hAnsi="Arial"/>
                <w:b w:val="0"/>
                <w:color w:val="26323F"/>
                <w:sz w:val="14"/>
              </w:rPr>
              <w:t>8/9</w:t>
            </w:r>
          </w:p>
        </w:tc>
        <w:tc>
          <w:tcPr>
            <w:tcW w:type="dxa" w:w="4464"/>
            <w:vAlign w:val="center"/>
          </w:tcPr>
          <w:p>
            <w:r/>
            <w:r>
              <w:rPr>
                <w:rFonts w:ascii="Arial" w:hAnsi="Arial"/>
                <w:b w:val="0"/>
                <w:color w:val="26323F"/>
                <w:sz w:val="14"/>
              </w:rPr>
              <w:t>Sistema reproducible, prototipos, industrialización inicial e identidad pieza-activo.</w:t>
            </w:r>
          </w:p>
        </w:tc>
      </w:tr>
      <w:tr>
        <w:tc>
          <w:tcPr>
            <w:tcW w:type="dxa" w:w="2088"/>
            <w:vAlign w:val="center"/>
            <w:shd w:fill="F7F9FB"/>
          </w:tcPr>
          <w:p>
            <w:r/>
            <w:r>
              <w:rPr>
                <w:rFonts w:ascii="Arial" w:hAnsi="Arial"/>
                <w:b w:val="0"/>
                <w:color w:val="26323F"/>
                <w:sz w:val="14"/>
              </w:rPr>
              <w:t>CEREBRO + software/datos</w:t>
            </w:r>
          </w:p>
        </w:tc>
        <w:tc>
          <w:tcPr>
            <w:tcW w:type="dxa" w:w="1368"/>
            <w:vAlign w:val="center"/>
            <w:shd w:fill="F7F9FB"/>
          </w:tcPr>
          <w:p>
            <w:r/>
            <w:r>
              <w:rPr>
                <w:rFonts w:ascii="Arial" w:hAnsi="Arial"/>
                <w:b w:val="0"/>
                <w:color w:val="26323F"/>
                <w:sz w:val="14"/>
              </w:rPr>
              <w:t>2019-2022/23</w:t>
            </w:r>
          </w:p>
        </w:tc>
        <w:tc>
          <w:tcPr>
            <w:tcW w:type="dxa" w:w="1440"/>
            <w:vAlign w:val="center"/>
            <w:shd w:fill="F7F9FB"/>
          </w:tcPr>
          <w:p>
            <w:r/>
            <w:r>
              <w:rPr>
                <w:rFonts w:ascii="Arial" w:hAnsi="Arial"/>
                <w:b w:val="0"/>
                <w:color w:val="26323F"/>
                <w:sz w:val="14"/>
              </w:rPr>
              <w:t>375.000,00 €</w:t>
            </w:r>
          </w:p>
        </w:tc>
        <w:tc>
          <w:tcPr>
            <w:tcW w:type="dxa" w:w="720"/>
            <w:vAlign w:val="center"/>
            <w:shd w:fill="F7F9FB"/>
          </w:tcPr>
          <w:p>
            <w:r/>
            <w:r>
              <w:rPr>
                <w:rFonts w:ascii="Arial" w:hAnsi="Arial"/>
                <w:b w:val="0"/>
                <w:color w:val="26323F"/>
                <w:sz w:val="14"/>
              </w:rPr>
              <w:t>8/9</w:t>
            </w:r>
          </w:p>
        </w:tc>
        <w:tc>
          <w:tcPr>
            <w:tcW w:type="dxa" w:w="4464"/>
            <w:vAlign w:val="center"/>
            <w:shd w:fill="F7F9FB"/>
          </w:tcPr>
          <w:p>
            <w:r/>
            <w:r>
              <w:rPr>
                <w:rFonts w:ascii="Arial" w:hAnsi="Arial"/>
                <w:b w:val="0"/>
                <w:color w:val="26323F"/>
                <w:sz w:val="14"/>
              </w:rPr>
              <w:t>Núcleo de plataforma, modelo de datos, API, seguridad y workflows.</w:t>
            </w:r>
          </w:p>
        </w:tc>
      </w:tr>
      <w:tr>
        <w:tc>
          <w:tcPr>
            <w:tcW w:type="dxa" w:w="2088"/>
            <w:vAlign w:val="center"/>
          </w:tcPr>
          <w:p>
            <w:r/>
            <w:r>
              <w:rPr>
                <w:rFonts w:ascii="Arial" w:hAnsi="Arial"/>
                <w:b w:val="0"/>
                <w:color w:val="26323F"/>
                <w:sz w:val="14"/>
              </w:rPr>
              <w:t>IoT + comunicaciones</w:t>
            </w:r>
          </w:p>
        </w:tc>
        <w:tc>
          <w:tcPr>
            <w:tcW w:type="dxa" w:w="1368"/>
            <w:vAlign w:val="center"/>
          </w:tcPr>
          <w:p>
            <w:r/>
            <w:r>
              <w:rPr>
                <w:rFonts w:ascii="Arial" w:hAnsi="Arial"/>
                <w:b w:val="0"/>
                <w:color w:val="26323F"/>
                <w:sz w:val="14"/>
              </w:rPr>
              <w:t>2019-2022/23</w:t>
            </w:r>
          </w:p>
        </w:tc>
        <w:tc>
          <w:tcPr>
            <w:tcW w:type="dxa" w:w="1440"/>
            <w:vAlign w:val="center"/>
          </w:tcPr>
          <w:p>
            <w:r/>
            <w:r>
              <w:rPr>
                <w:rFonts w:ascii="Arial" w:hAnsi="Arial"/>
                <w:b w:val="0"/>
                <w:color w:val="26323F"/>
                <w:sz w:val="14"/>
              </w:rPr>
              <w:t>180.000,00 €</w:t>
            </w:r>
          </w:p>
        </w:tc>
        <w:tc>
          <w:tcPr>
            <w:tcW w:type="dxa" w:w="720"/>
            <w:vAlign w:val="center"/>
          </w:tcPr>
          <w:p>
            <w:r/>
            <w:r>
              <w:rPr>
                <w:rFonts w:ascii="Arial" w:hAnsi="Arial"/>
                <w:b w:val="0"/>
                <w:color w:val="26323F"/>
                <w:sz w:val="14"/>
              </w:rPr>
              <w:t>8/9</w:t>
            </w:r>
          </w:p>
        </w:tc>
        <w:tc>
          <w:tcPr>
            <w:tcW w:type="dxa" w:w="4464"/>
            <w:vAlign w:val="center"/>
          </w:tcPr>
          <w:p>
            <w:r/>
            <w:r>
              <w:rPr>
                <w:rFonts w:ascii="Arial" w:hAnsi="Arial"/>
                <w:b w:val="0"/>
                <w:color w:val="26323F"/>
                <w:sz w:val="14"/>
              </w:rPr>
              <w:t>Captura de estados, eventos y conexión físico-digital.</w:t>
            </w:r>
          </w:p>
        </w:tc>
      </w:tr>
      <w:tr>
        <w:tc>
          <w:tcPr>
            <w:tcW w:type="dxa" w:w="2088"/>
            <w:vAlign w:val="center"/>
            <w:shd w:fill="F7F9FB"/>
          </w:tcPr>
          <w:p>
            <w:r/>
            <w:r>
              <w:rPr>
                <w:rFonts w:ascii="Arial" w:hAnsi="Arial"/>
                <w:b w:val="0"/>
                <w:color w:val="26323F"/>
                <w:sz w:val="14"/>
              </w:rPr>
              <w:t>Operativa industrial</w:t>
            </w:r>
          </w:p>
        </w:tc>
        <w:tc>
          <w:tcPr>
            <w:tcW w:type="dxa" w:w="1368"/>
            <w:vAlign w:val="center"/>
            <w:shd w:fill="F7F9FB"/>
          </w:tcPr>
          <w:p>
            <w:r/>
            <w:r>
              <w:rPr>
                <w:rFonts w:ascii="Arial" w:hAnsi="Arial"/>
                <w:b w:val="0"/>
                <w:color w:val="26323F"/>
                <w:sz w:val="14"/>
              </w:rPr>
              <w:t>2019-2022/23</w:t>
            </w:r>
          </w:p>
        </w:tc>
        <w:tc>
          <w:tcPr>
            <w:tcW w:type="dxa" w:w="1440"/>
            <w:vAlign w:val="center"/>
            <w:shd w:fill="F7F9FB"/>
          </w:tcPr>
          <w:p>
            <w:r/>
            <w:r>
              <w:rPr>
                <w:rFonts w:ascii="Arial" w:hAnsi="Arial"/>
                <w:b w:val="0"/>
                <w:color w:val="26323F"/>
                <w:sz w:val="14"/>
              </w:rPr>
              <w:t>794.758,65 €</w:t>
            </w:r>
          </w:p>
        </w:tc>
        <w:tc>
          <w:tcPr>
            <w:tcW w:type="dxa" w:w="720"/>
            <w:vAlign w:val="center"/>
            <w:shd w:fill="F7F9FB"/>
          </w:tcPr>
          <w:p>
            <w:r/>
            <w:r>
              <w:rPr>
                <w:rFonts w:ascii="Arial" w:hAnsi="Arial"/>
                <w:b w:val="0"/>
                <w:color w:val="26323F"/>
                <w:sz w:val="14"/>
              </w:rPr>
              <w:t>8/9</w:t>
            </w:r>
          </w:p>
        </w:tc>
        <w:tc>
          <w:tcPr>
            <w:tcW w:type="dxa" w:w="4464"/>
            <w:vAlign w:val="center"/>
            <w:shd w:fill="F7F9FB"/>
          </w:tcPr>
          <w:p>
            <w:r/>
            <w:r>
              <w:rPr>
                <w:rFonts w:ascii="Arial" w:hAnsi="Arial"/>
                <w:b w:val="0"/>
                <w:color w:val="26323F"/>
                <w:sz w:val="14"/>
              </w:rPr>
              <w:t>Factory OS, Warehouse OS, Factory Flow, Site OS y procedimientos de ejecución.</w:t>
            </w:r>
          </w:p>
        </w:tc>
      </w:tr>
      <w:tr>
        <w:tc>
          <w:tcPr>
            <w:tcW w:type="dxa" w:w="2088"/>
            <w:vAlign w:val="center"/>
          </w:tcPr>
          <w:p>
            <w:r/>
            <w:r>
              <w:rPr>
                <w:rFonts w:ascii="Arial" w:hAnsi="Arial"/>
                <w:b w:val="0"/>
                <w:color w:val="26323F"/>
                <w:sz w:val="14"/>
              </w:rPr>
              <w:t>Ingeniero virtual</w:t>
            </w:r>
          </w:p>
        </w:tc>
        <w:tc>
          <w:tcPr>
            <w:tcW w:type="dxa" w:w="1368"/>
            <w:vAlign w:val="center"/>
          </w:tcPr>
          <w:p>
            <w:r/>
            <w:r>
              <w:rPr>
                <w:rFonts w:ascii="Arial" w:hAnsi="Arial"/>
                <w:b w:val="0"/>
                <w:color w:val="26323F"/>
                <w:sz w:val="14"/>
              </w:rPr>
              <w:t>2021-2023</w:t>
            </w:r>
          </w:p>
        </w:tc>
        <w:tc>
          <w:tcPr>
            <w:tcW w:type="dxa" w:w="1440"/>
            <w:vAlign w:val="center"/>
          </w:tcPr>
          <w:p>
            <w:r/>
            <w:r>
              <w:rPr>
                <w:rFonts w:ascii="Arial" w:hAnsi="Arial"/>
                <w:b w:val="0"/>
                <w:color w:val="26323F"/>
                <w:sz w:val="14"/>
              </w:rPr>
              <w:t>261.964,80 €</w:t>
            </w:r>
          </w:p>
        </w:tc>
        <w:tc>
          <w:tcPr>
            <w:tcW w:type="dxa" w:w="720"/>
            <w:vAlign w:val="center"/>
          </w:tcPr>
          <w:p>
            <w:r/>
            <w:r>
              <w:rPr>
                <w:rFonts w:ascii="Arial" w:hAnsi="Arial"/>
                <w:b w:val="0"/>
                <w:color w:val="26323F"/>
                <w:sz w:val="14"/>
              </w:rPr>
              <w:t>8/9</w:t>
            </w:r>
          </w:p>
        </w:tc>
        <w:tc>
          <w:tcPr>
            <w:tcW w:type="dxa" w:w="4464"/>
            <w:vAlign w:val="center"/>
          </w:tcPr>
          <w:p>
            <w:r/>
            <w:r>
              <w:rPr>
                <w:rFonts w:ascii="Arial" w:hAnsi="Arial"/>
                <w:b w:val="0"/>
                <w:color w:val="26323F"/>
                <w:sz w:val="14"/>
              </w:rPr>
              <w:t>Reglas, modelos y asistencia técnica CAD/BIM/cálculo.</w:t>
            </w:r>
          </w:p>
        </w:tc>
      </w:tr>
      <w:tr>
        <w:tc>
          <w:tcPr>
            <w:tcW w:type="dxa" w:w="2088"/>
            <w:vAlign w:val="center"/>
            <w:shd w:fill="F7F9FB"/>
          </w:tcPr>
          <w:p>
            <w:r/>
            <w:r>
              <w:rPr>
                <w:rFonts w:ascii="Arial" w:hAnsi="Arial"/>
                <w:b w:val="0"/>
                <w:color w:val="26323F"/>
                <w:sz w:val="14"/>
              </w:rPr>
              <w:t>Vida + comunidad</w:t>
            </w:r>
          </w:p>
        </w:tc>
        <w:tc>
          <w:tcPr>
            <w:tcW w:type="dxa" w:w="1368"/>
            <w:vAlign w:val="center"/>
            <w:shd w:fill="F7F9FB"/>
          </w:tcPr>
          <w:p>
            <w:r/>
            <w:r>
              <w:rPr>
                <w:rFonts w:ascii="Arial" w:hAnsi="Arial"/>
                <w:b w:val="0"/>
                <w:color w:val="26323F"/>
                <w:sz w:val="14"/>
              </w:rPr>
              <w:t>2021-2023</w:t>
            </w:r>
          </w:p>
        </w:tc>
        <w:tc>
          <w:tcPr>
            <w:tcW w:type="dxa" w:w="1440"/>
            <w:vAlign w:val="center"/>
            <w:shd w:fill="F7F9FB"/>
          </w:tcPr>
          <w:p>
            <w:r/>
            <w:r>
              <w:rPr>
                <w:rFonts w:ascii="Arial" w:hAnsi="Arial"/>
                <w:b w:val="0"/>
                <w:color w:val="26323F"/>
                <w:sz w:val="14"/>
              </w:rPr>
              <w:t>236.124,85 €</w:t>
            </w:r>
          </w:p>
        </w:tc>
        <w:tc>
          <w:tcPr>
            <w:tcW w:type="dxa" w:w="720"/>
            <w:vAlign w:val="center"/>
            <w:shd w:fill="F7F9FB"/>
          </w:tcPr>
          <w:p>
            <w:r/>
            <w:r>
              <w:rPr>
                <w:rFonts w:ascii="Arial" w:hAnsi="Arial"/>
                <w:b w:val="0"/>
                <w:color w:val="26323F"/>
                <w:sz w:val="14"/>
              </w:rPr>
              <w:t>8/9</w:t>
            </w:r>
          </w:p>
        </w:tc>
        <w:tc>
          <w:tcPr>
            <w:tcW w:type="dxa" w:w="4464"/>
            <w:vAlign w:val="center"/>
            <w:shd w:fill="F7F9FB"/>
          </w:tcPr>
          <w:p>
            <w:r/>
            <w:r>
              <w:rPr>
                <w:rFonts w:ascii="Arial" w:hAnsi="Arial"/>
                <w:b w:val="0"/>
                <w:color w:val="26323F"/>
                <w:sz w:val="14"/>
              </w:rPr>
              <w:t>Mantenimiento, permisos, circularidad, postventa y comunidad.</w:t>
            </w:r>
          </w:p>
        </w:tc>
      </w:tr>
      <w:tr>
        <w:tc>
          <w:tcPr>
            <w:tcW w:type="dxa" w:w="2088"/>
            <w:vAlign w:val="center"/>
          </w:tcPr>
          <w:p>
            <w:r/>
            <w:r>
              <w:rPr>
                <w:rFonts w:ascii="Arial" w:hAnsi="Arial"/>
                <w:b w:val="0"/>
                <w:color w:val="26323F"/>
                <w:sz w:val="14"/>
              </w:rPr>
              <w:t>DPP / pasaporte digital</w:t>
            </w:r>
          </w:p>
        </w:tc>
        <w:tc>
          <w:tcPr>
            <w:tcW w:type="dxa" w:w="1368"/>
            <w:vAlign w:val="center"/>
          </w:tcPr>
          <w:p>
            <w:r/>
            <w:r>
              <w:rPr>
                <w:rFonts w:ascii="Arial" w:hAnsi="Arial"/>
                <w:b w:val="0"/>
                <w:color w:val="26323F"/>
                <w:sz w:val="14"/>
              </w:rPr>
              <w:t>2023-2026</w:t>
            </w:r>
          </w:p>
        </w:tc>
        <w:tc>
          <w:tcPr>
            <w:tcW w:type="dxa" w:w="1440"/>
            <w:vAlign w:val="center"/>
          </w:tcPr>
          <w:p>
            <w:r/>
            <w:r>
              <w:rPr>
                <w:rFonts w:ascii="Arial" w:hAnsi="Arial"/>
                <w:b w:val="0"/>
                <w:color w:val="26323F"/>
                <w:sz w:val="14"/>
              </w:rPr>
              <w:t>220.000,00 €</w:t>
            </w:r>
          </w:p>
        </w:tc>
        <w:tc>
          <w:tcPr>
            <w:tcW w:type="dxa" w:w="720"/>
            <w:vAlign w:val="center"/>
          </w:tcPr>
          <w:p>
            <w:r/>
            <w:r>
              <w:rPr>
                <w:rFonts w:ascii="Arial" w:hAnsi="Arial"/>
                <w:b w:val="0"/>
                <w:color w:val="26323F"/>
                <w:sz w:val="14"/>
              </w:rPr>
              <w:t>8/9</w:t>
            </w:r>
          </w:p>
        </w:tc>
        <w:tc>
          <w:tcPr>
            <w:tcW w:type="dxa" w:w="4464"/>
            <w:vAlign w:val="center"/>
          </w:tcPr>
          <w:p>
            <w:r/>
            <w:r>
              <w:rPr>
                <w:rFonts w:ascii="Arial" w:hAnsi="Arial"/>
                <w:b w:val="0"/>
                <w:color w:val="26323F"/>
                <w:sz w:val="14"/>
              </w:rPr>
              <w:t>Carpeta Madre, historial vivo y trazabilidad explotable del activo.</w:t>
            </w:r>
          </w:p>
        </w:tc>
      </w:tr>
      <w:tr>
        <w:tc>
          <w:tcPr>
            <w:tcW w:type="dxa" w:w="2088"/>
            <w:vAlign w:val="center"/>
            <w:shd w:fill="F7F9FB"/>
          </w:tcPr>
          <w:p>
            <w:r/>
            <w:r>
              <w:rPr>
                <w:rFonts w:ascii="Arial" w:hAnsi="Arial"/>
                <w:b w:val="0"/>
                <w:color w:val="26323F"/>
                <w:sz w:val="14"/>
              </w:rPr>
              <w:t>POI / prueba de instalación</w:t>
            </w:r>
          </w:p>
        </w:tc>
        <w:tc>
          <w:tcPr>
            <w:tcW w:type="dxa" w:w="1368"/>
            <w:vAlign w:val="center"/>
            <w:shd w:fill="F7F9FB"/>
          </w:tcPr>
          <w:p>
            <w:r/>
            <w:r>
              <w:rPr>
                <w:rFonts w:ascii="Arial" w:hAnsi="Arial"/>
                <w:b w:val="0"/>
                <w:color w:val="26323F"/>
                <w:sz w:val="14"/>
              </w:rPr>
              <w:t>2023-2026</w:t>
            </w:r>
          </w:p>
        </w:tc>
        <w:tc>
          <w:tcPr>
            <w:tcW w:type="dxa" w:w="1440"/>
            <w:vAlign w:val="center"/>
            <w:shd w:fill="F7F9FB"/>
          </w:tcPr>
          <w:p>
            <w:r/>
            <w:r>
              <w:rPr>
                <w:rFonts w:ascii="Arial" w:hAnsi="Arial"/>
                <w:b w:val="0"/>
                <w:color w:val="26323F"/>
                <w:sz w:val="14"/>
              </w:rPr>
              <w:t>190.000,00 €</w:t>
            </w:r>
          </w:p>
        </w:tc>
        <w:tc>
          <w:tcPr>
            <w:tcW w:type="dxa" w:w="720"/>
            <w:vAlign w:val="center"/>
            <w:shd w:fill="F7F9FB"/>
          </w:tcPr>
          <w:p>
            <w:r/>
            <w:r>
              <w:rPr>
                <w:rFonts w:ascii="Arial" w:hAnsi="Arial"/>
                <w:b w:val="0"/>
                <w:color w:val="26323F"/>
                <w:sz w:val="14"/>
              </w:rPr>
              <w:t>8/9</w:t>
            </w:r>
          </w:p>
        </w:tc>
        <w:tc>
          <w:tcPr>
            <w:tcW w:type="dxa" w:w="4464"/>
            <w:vAlign w:val="center"/>
            <w:shd w:fill="F7F9FB"/>
          </w:tcPr>
          <w:p>
            <w:r/>
            <w:r>
              <w:rPr>
                <w:rFonts w:ascii="Arial" w:hAnsi="Arial"/>
                <w:b w:val="0"/>
                <w:color w:val="26323F"/>
                <w:sz w:val="14"/>
              </w:rPr>
              <w:t>Evidencia de instalación, recepción, responsable, regla y audit trail.</w:t>
            </w:r>
          </w:p>
        </w:tc>
      </w:tr>
      <w:tr>
        <w:tc>
          <w:tcPr>
            <w:tcW w:type="dxa" w:w="2088"/>
            <w:vAlign w:val="center"/>
          </w:tcPr>
          <w:p>
            <w:r/>
            <w:r>
              <w:rPr>
                <w:rFonts w:ascii="Arial" w:hAnsi="Arial"/>
                <w:b w:val="0"/>
                <w:color w:val="26323F"/>
                <w:sz w:val="14"/>
              </w:rPr>
              <w:t>Activos digitales</w:t>
            </w:r>
          </w:p>
        </w:tc>
        <w:tc>
          <w:tcPr>
            <w:tcW w:type="dxa" w:w="1368"/>
            <w:vAlign w:val="center"/>
          </w:tcPr>
          <w:p>
            <w:r/>
            <w:r>
              <w:rPr>
                <w:rFonts w:ascii="Arial" w:hAnsi="Arial"/>
                <w:b w:val="0"/>
                <w:color w:val="26323F"/>
                <w:sz w:val="14"/>
              </w:rPr>
              <w:t>2023-2026</w:t>
            </w:r>
          </w:p>
        </w:tc>
        <w:tc>
          <w:tcPr>
            <w:tcW w:type="dxa" w:w="1440"/>
            <w:vAlign w:val="center"/>
          </w:tcPr>
          <w:p>
            <w:r/>
            <w:r>
              <w:rPr>
                <w:rFonts w:ascii="Arial" w:hAnsi="Arial"/>
                <w:b w:val="0"/>
                <w:color w:val="26323F"/>
                <w:sz w:val="14"/>
              </w:rPr>
              <w:t>260.000,00 €</w:t>
            </w:r>
          </w:p>
        </w:tc>
        <w:tc>
          <w:tcPr>
            <w:tcW w:type="dxa" w:w="720"/>
            <w:vAlign w:val="center"/>
          </w:tcPr>
          <w:p>
            <w:r/>
            <w:r>
              <w:rPr>
                <w:rFonts w:ascii="Arial" w:hAnsi="Arial"/>
                <w:b w:val="0"/>
                <w:color w:val="26323F"/>
                <w:sz w:val="14"/>
              </w:rPr>
              <w:t>5/9</w:t>
            </w:r>
          </w:p>
        </w:tc>
        <w:tc>
          <w:tcPr>
            <w:tcW w:type="dxa" w:w="4464"/>
            <w:vAlign w:val="center"/>
          </w:tcPr>
          <w:p>
            <w:r/>
            <w:r>
              <w:rPr>
                <w:rFonts w:ascii="Arial" w:hAnsi="Arial"/>
                <w:b w:val="0"/>
                <w:color w:val="26323F"/>
                <w:sz w:val="14"/>
              </w:rPr>
              <w:t>Gemelo digital, metadatos, derechos, tokenización y servicios transaccionales futuros.</w:t>
            </w:r>
          </w:p>
        </w:tc>
      </w:tr>
      <w:tr>
        <w:tc>
          <w:tcPr>
            <w:tcW w:type="dxa" w:w="2088"/>
            <w:vAlign w:val="center"/>
            <w:shd w:fill="F7F9FB"/>
          </w:tcPr>
          <w:p>
            <w:r/>
            <w:r>
              <w:rPr>
                <w:rFonts w:ascii="Arial" w:hAnsi="Arial"/>
                <w:b w:val="0"/>
                <w:color w:val="26323F"/>
                <w:sz w:val="14"/>
              </w:rPr>
              <w:t>Designer + vivienda generativa</w:t>
            </w:r>
          </w:p>
        </w:tc>
        <w:tc>
          <w:tcPr>
            <w:tcW w:type="dxa" w:w="1368"/>
            <w:vAlign w:val="center"/>
            <w:shd w:fill="F7F9FB"/>
          </w:tcPr>
          <w:p>
            <w:r/>
            <w:r>
              <w:rPr>
                <w:rFonts w:ascii="Arial" w:hAnsi="Arial"/>
                <w:b w:val="0"/>
                <w:color w:val="26323F"/>
                <w:sz w:val="14"/>
              </w:rPr>
              <w:t>2023-2026</w:t>
            </w:r>
          </w:p>
        </w:tc>
        <w:tc>
          <w:tcPr>
            <w:tcW w:type="dxa" w:w="1440"/>
            <w:vAlign w:val="center"/>
            <w:shd w:fill="F7F9FB"/>
          </w:tcPr>
          <w:p>
            <w:r/>
            <w:r>
              <w:rPr>
                <w:rFonts w:ascii="Arial" w:hAnsi="Arial"/>
                <w:b w:val="0"/>
                <w:color w:val="26323F"/>
                <w:sz w:val="14"/>
              </w:rPr>
              <w:t>255.000,00 €</w:t>
            </w:r>
          </w:p>
        </w:tc>
        <w:tc>
          <w:tcPr>
            <w:tcW w:type="dxa" w:w="720"/>
            <w:vAlign w:val="center"/>
            <w:shd w:fill="F7F9FB"/>
          </w:tcPr>
          <w:p>
            <w:r/>
            <w:r>
              <w:rPr>
                <w:rFonts w:ascii="Arial" w:hAnsi="Arial"/>
                <w:b w:val="0"/>
                <w:color w:val="26323F"/>
                <w:sz w:val="14"/>
              </w:rPr>
              <w:t>8/9</w:t>
            </w:r>
          </w:p>
        </w:tc>
        <w:tc>
          <w:tcPr>
            <w:tcW w:type="dxa" w:w="4464"/>
            <w:vAlign w:val="center"/>
            <w:shd w:fill="F7F9FB"/>
          </w:tcPr>
          <w:p>
            <w:r/>
            <w:r>
              <w:rPr>
                <w:rFonts w:ascii="Arial" w:hAnsi="Arial"/>
                <w:b w:val="0"/>
                <w:color w:val="26323F"/>
                <w:sz w:val="14"/>
              </w:rPr>
              <w:t>Motor de alternativas, reglas, familias constructivas y generación vía API.</w:t>
            </w:r>
          </w:p>
        </w:tc>
      </w:tr>
      <w:tr>
        <w:tc>
          <w:tcPr>
            <w:tcW w:type="dxa" w:w="2088"/>
            <w:vAlign w:val="center"/>
          </w:tcPr>
          <w:p>
            <w:r/>
            <w:r>
              <w:rPr>
                <w:rFonts w:ascii="Arial" w:hAnsi="Arial"/>
                <w:b w:val="0"/>
                <w:color w:val="26323F"/>
                <w:sz w:val="14"/>
              </w:rPr>
              <w:t>GIS + capa territorial</w:t>
            </w:r>
          </w:p>
        </w:tc>
        <w:tc>
          <w:tcPr>
            <w:tcW w:type="dxa" w:w="1368"/>
            <w:vAlign w:val="center"/>
          </w:tcPr>
          <w:p>
            <w:r/>
            <w:r>
              <w:rPr>
                <w:rFonts w:ascii="Arial" w:hAnsi="Arial"/>
                <w:b w:val="0"/>
                <w:color w:val="26323F"/>
                <w:sz w:val="14"/>
              </w:rPr>
              <w:t>2023-2026</w:t>
            </w:r>
          </w:p>
        </w:tc>
        <w:tc>
          <w:tcPr>
            <w:tcW w:type="dxa" w:w="1440"/>
            <w:vAlign w:val="center"/>
          </w:tcPr>
          <w:p>
            <w:r/>
            <w:r>
              <w:rPr>
                <w:rFonts w:ascii="Arial" w:hAnsi="Arial"/>
                <w:b w:val="0"/>
                <w:color w:val="26323F"/>
                <w:sz w:val="14"/>
              </w:rPr>
              <w:t>150.000,00 €</w:t>
            </w:r>
          </w:p>
        </w:tc>
        <w:tc>
          <w:tcPr>
            <w:tcW w:type="dxa" w:w="720"/>
            <w:vAlign w:val="center"/>
          </w:tcPr>
          <w:p>
            <w:r/>
            <w:r>
              <w:rPr>
                <w:rFonts w:ascii="Arial" w:hAnsi="Arial"/>
                <w:b w:val="0"/>
                <w:color w:val="26323F"/>
                <w:sz w:val="14"/>
              </w:rPr>
              <w:t>8/9</w:t>
            </w:r>
          </w:p>
        </w:tc>
        <w:tc>
          <w:tcPr>
            <w:tcW w:type="dxa" w:w="4464"/>
            <w:vAlign w:val="center"/>
          </w:tcPr>
          <w:p>
            <w:r/>
            <w:r>
              <w:rPr>
                <w:rFonts w:ascii="Arial" w:hAnsi="Arial"/>
                <w:b w:val="0"/>
                <w:color w:val="26323F"/>
                <w:sz w:val="14"/>
              </w:rPr>
              <w:t>iPath, geolocalización, rutas, activos urbanos y analítica territorial.</w:t>
            </w:r>
          </w:p>
        </w:tc>
      </w:tr>
      <w:tr>
        <w:tc>
          <w:tcPr>
            <w:tcW w:type="dxa" w:w="2088"/>
            <w:vAlign w:val="center"/>
            <w:shd w:fill="F7F9FB"/>
          </w:tcPr>
          <w:p>
            <w:r/>
            <w:r>
              <w:rPr>
                <w:rFonts w:ascii="Arial" w:hAnsi="Arial"/>
                <w:b w:val="0"/>
                <w:color w:val="26323F"/>
                <w:sz w:val="14"/>
              </w:rPr>
              <w:t>Manager + Project Room</w:t>
            </w:r>
          </w:p>
        </w:tc>
        <w:tc>
          <w:tcPr>
            <w:tcW w:type="dxa" w:w="1368"/>
            <w:vAlign w:val="center"/>
            <w:shd w:fill="F7F9FB"/>
          </w:tcPr>
          <w:p>
            <w:r/>
            <w:r>
              <w:rPr>
                <w:rFonts w:ascii="Arial" w:hAnsi="Arial"/>
                <w:b w:val="0"/>
                <w:color w:val="26323F"/>
                <w:sz w:val="14"/>
              </w:rPr>
              <w:t>2023-2026</w:t>
            </w:r>
          </w:p>
        </w:tc>
        <w:tc>
          <w:tcPr>
            <w:tcW w:type="dxa" w:w="1440"/>
            <w:vAlign w:val="center"/>
            <w:shd w:fill="F7F9FB"/>
          </w:tcPr>
          <w:p>
            <w:r/>
            <w:r>
              <w:rPr>
                <w:rFonts w:ascii="Arial" w:hAnsi="Arial"/>
                <w:b w:val="0"/>
                <w:color w:val="26323F"/>
                <w:sz w:val="14"/>
              </w:rPr>
              <w:t>210.000,00 €</w:t>
            </w:r>
          </w:p>
        </w:tc>
        <w:tc>
          <w:tcPr>
            <w:tcW w:type="dxa" w:w="720"/>
            <w:vAlign w:val="center"/>
            <w:shd w:fill="F7F9FB"/>
          </w:tcPr>
          <w:p>
            <w:r/>
            <w:r>
              <w:rPr>
                <w:rFonts w:ascii="Arial" w:hAnsi="Arial"/>
                <w:b w:val="0"/>
                <w:color w:val="26323F"/>
                <w:sz w:val="14"/>
              </w:rPr>
              <w:t>8/9</w:t>
            </w:r>
          </w:p>
        </w:tc>
        <w:tc>
          <w:tcPr>
            <w:tcW w:type="dxa" w:w="4464"/>
            <w:vAlign w:val="center"/>
            <w:shd w:fill="F7F9FB"/>
          </w:tcPr>
          <w:p>
            <w:r/>
            <w:r>
              <w:rPr>
                <w:rFonts w:ascii="Arial" w:hAnsi="Arial"/>
                <w:b w:val="0"/>
                <w:color w:val="26323F"/>
                <w:sz w:val="14"/>
              </w:rPr>
              <w:t>Coordinación multiagente, permisos, estado, decisión y entrega.</w:t>
            </w:r>
          </w:p>
        </w:tc>
      </w:tr>
      <w:tr>
        <w:tc>
          <w:tcPr>
            <w:tcW w:type="dxa" w:w="2088"/>
            <w:vAlign w:val="center"/>
          </w:tcPr>
          <w:p>
            <w:r/>
            <w:r>
              <w:rPr>
                <w:rFonts w:ascii="Arial" w:hAnsi="Arial"/>
                <w:b w:val="0"/>
                <w:color w:val="26323F"/>
                <w:sz w:val="14"/>
              </w:rPr>
              <w:t>Neuronas + apps de lectura</w:t>
            </w:r>
          </w:p>
        </w:tc>
        <w:tc>
          <w:tcPr>
            <w:tcW w:type="dxa" w:w="1368"/>
            <w:vAlign w:val="center"/>
          </w:tcPr>
          <w:p>
            <w:r/>
            <w:r>
              <w:rPr>
                <w:rFonts w:ascii="Arial" w:hAnsi="Arial"/>
                <w:b w:val="0"/>
                <w:color w:val="26323F"/>
                <w:sz w:val="14"/>
              </w:rPr>
              <w:t>2023-2026</w:t>
            </w:r>
          </w:p>
        </w:tc>
        <w:tc>
          <w:tcPr>
            <w:tcW w:type="dxa" w:w="1440"/>
            <w:vAlign w:val="center"/>
          </w:tcPr>
          <w:p>
            <w:r/>
            <w:r>
              <w:rPr>
                <w:rFonts w:ascii="Arial" w:hAnsi="Arial"/>
                <w:b w:val="0"/>
                <w:color w:val="26323F"/>
                <w:sz w:val="14"/>
              </w:rPr>
              <w:t>170.000,00 €</w:t>
            </w:r>
          </w:p>
        </w:tc>
        <w:tc>
          <w:tcPr>
            <w:tcW w:type="dxa" w:w="720"/>
            <w:vAlign w:val="center"/>
          </w:tcPr>
          <w:p>
            <w:r/>
            <w:r>
              <w:rPr>
                <w:rFonts w:ascii="Arial" w:hAnsi="Arial"/>
                <w:b w:val="0"/>
                <w:color w:val="26323F"/>
                <w:sz w:val="14"/>
              </w:rPr>
              <w:t>8/9</w:t>
            </w:r>
          </w:p>
        </w:tc>
        <w:tc>
          <w:tcPr>
            <w:tcW w:type="dxa" w:w="4464"/>
            <w:vAlign w:val="center"/>
          </w:tcPr>
          <w:p>
            <w:r/>
            <w:r>
              <w:rPr>
                <w:rFonts w:ascii="Arial" w:hAnsi="Arial"/>
                <w:b w:val="0"/>
                <w:color w:val="26323F"/>
                <w:sz w:val="14"/>
              </w:rPr>
              <w:t>Captura de campo por QR/NFC/chip, apps, lectores y eventos.</w:t>
            </w:r>
          </w:p>
        </w:tc>
      </w:tr>
      <w:tr>
        <w:tc>
          <w:tcPr>
            <w:tcW w:type="dxa" w:w="2088"/>
            <w:vAlign w:val="center"/>
            <w:shd w:fill="F7F9FB"/>
          </w:tcPr>
          <w:p>
            <w:r/>
            <w:r>
              <w:rPr>
                <w:rFonts w:ascii="Arial" w:hAnsi="Arial"/>
                <w:b w:val="0"/>
                <w:color w:val="26323F"/>
                <w:sz w:val="14"/>
              </w:rPr>
              <w:t>Market OS + activos comerciales</w:t>
            </w:r>
          </w:p>
        </w:tc>
        <w:tc>
          <w:tcPr>
            <w:tcW w:type="dxa" w:w="1368"/>
            <w:vAlign w:val="center"/>
            <w:shd w:fill="F7F9FB"/>
          </w:tcPr>
          <w:p>
            <w:r/>
            <w:r>
              <w:rPr>
                <w:rFonts w:ascii="Arial" w:hAnsi="Arial"/>
                <w:b w:val="0"/>
                <w:color w:val="26323F"/>
                <w:sz w:val="14"/>
              </w:rPr>
              <w:t>2023-2026</w:t>
            </w:r>
          </w:p>
        </w:tc>
        <w:tc>
          <w:tcPr>
            <w:tcW w:type="dxa" w:w="1440"/>
            <w:vAlign w:val="center"/>
            <w:shd w:fill="F7F9FB"/>
          </w:tcPr>
          <w:p>
            <w:r/>
            <w:r>
              <w:rPr>
                <w:rFonts w:ascii="Arial" w:hAnsi="Arial"/>
                <w:b w:val="0"/>
                <w:color w:val="26323F"/>
                <w:sz w:val="14"/>
              </w:rPr>
              <w:t>215.000,00 €</w:t>
            </w:r>
          </w:p>
        </w:tc>
        <w:tc>
          <w:tcPr>
            <w:tcW w:type="dxa" w:w="720"/>
            <w:vAlign w:val="center"/>
            <w:shd w:fill="F7F9FB"/>
          </w:tcPr>
          <w:p>
            <w:r/>
            <w:r>
              <w:rPr>
                <w:rFonts w:ascii="Arial" w:hAnsi="Arial"/>
                <w:b w:val="0"/>
                <w:color w:val="26323F"/>
                <w:sz w:val="14"/>
              </w:rPr>
              <w:t>8/9</w:t>
            </w:r>
          </w:p>
        </w:tc>
        <w:tc>
          <w:tcPr>
            <w:tcW w:type="dxa" w:w="4464"/>
            <w:vAlign w:val="center"/>
            <w:shd w:fill="F7F9FB"/>
          </w:tcPr>
          <w:p>
            <w:r/>
            <w:r>
              <w:rPr>
                <w:rFonts w:ascii="Arial" w:hAnsi="Arial"/>
                <w:b w:val="0"/>
                <w:color w:val="26323F"/>
                <w:sz w:val="14"/>
              </w:rPr>
              <w:t>Oferta modular, Benefits OS, carta de servicios, white label y canal.</w:t>
            </w:r>
          </w:p>
        </w:tc>
      </w:tr>
    </w:tbl>
    <w:p/>
    <w:p>
      <w:pPr>
        <w:pStyle w:val="Heading2"/>
      </w:pPr>
      <w:r>
        <w:rPr>
          <w:rFonts w:ascii="Arial" w:hAnsi="Arial"/>
          <w:color w:val="0B1F33"/>
        </w:rPr>
        <w:t>4.2. Benchmarks externos de alcance técnico</w:t>
      </w:r>
    </w:p>
    <w:tbl>
      <w:tblPr>
        <w:tblStyle w:val="TableGrid"/>
        <w:tblW w:type="auto" w:w="0"/>
        <w:tblLook w:firstColumn="1" w:firstRow="1" w:lastColumn="0" w:lastRow="0" w:noHBand="0" w:noVBand="1" w:val="04A0"/>
      </w:tblPr>
      <w:tblGrid>
        <w:gridCol w:w="2592"/>
        <w:gridCol w:w="2592"/>
        <w:gridCol w:w="2592"/>
        <w:gridCol w:w="2592"/>
      </w:tblGrid>
      <w:tr>
        <w:tc>
          <w:tcPr>
            <w:tcW w:type="dxa" w:w="1728"/>
            <w:vAlign w:val="center"/>
            <w:shd w:fill="0B1F33"/>
          </w:tcPr>
          <w:p>
            <w:r/>
            <w:r>
              <w:rPr>
                <w:rFonts w:ascii="Arial" w:hAnsi="Arial"/>
                <w:b/>
                <w:color w:val="FFFFFF"/>
                <w:sz w:val="15"/>
              </w:rPr>
              <w:t>Origen</w:t>
            </w:r>
          </w:p>
        </w:tc>
        <w:tc>
          <w:tcPr>
            <w:tcW w:type="dxa" w:w="1800"/>
            <w:vAlign w:val="center"/>
            <w:shd w:fill="0B1F33"/>
          </w:tcPr>
          <w:p>
            <w:r/>
            <w:r>
              <w:rPr>
                <w:rFonts w:ascii="Arial" w:hAnsi="Arial"/>
                <w:b/>
                <w:color w:val="FFFFFF"/>
                <w:sz w:val="15"/>
              </w:rPr>
              <w:t>Presupuesto / alcance</w:t>
            </w:r>
          </w:p>
        </w:tc>
        <w:tc>
          <w:tcPr>
            <w:tcW w:type="dxa" w:w="3384"/>
            <w:vAlign w:val="center"/>
            <w:shd w:fill="0B1F33"/>
          </w:tcPr>
          <w:p>
            <w:r/>
            <w:r>
              <w:rPr>
                <w:rFonts w:ascii="Arial" w:hAnsi="Arial"/>
                <w:b/>
                <w:color w:val="FFFFFF"/>
                <w:sz w:val="15"/>
              </w:rPr>
              <w:t>Qué valida</w:t>
            </w:r>
          </w:p>
        </w:tc>
        <w:tc>
          <w:tcPr>
            <w:tcW w:type="dxa" w:w="2880"/>
            <w:vAlign w:val="center"/>
            <w:shd w:fill="0B1F33"/>
          </w:tcPr>
          <w:p>
            <w:r/>
            <w:r>
              <w:rPr>
                <w:rFonts w:ascii="Arial" w:hAnsi="Arial"/>
                <w:b/>
                <w:color w:val="FFFFFF"/>
                <w:sz w:val="15"/>
              </w:rPr>
              <w:t>Límite de uso</w:t>
            </w:r>
          </w:p>
        </w:tc>
      </w:tr>
      <w:tr>
        <w:tc>
          <w:tcPr>
            <w:tcW w:type="dxa" w:w="1728"/>
            <w:vAlign w:val="center"/>
            <w:shd w:fill="F7F9FB"/>
          </w:tcPr>
          <w:p>
            <w:r/>
            <w:r>
              <w:rPr>
                <w:rFonts w:ascii="Arial" w:hAnsi="Arial"/>
                <w:b w:val="0"/>
                <w:color w:val="26323F"/>
                <w:sz w:val="15"/>
              </w:rPr>
              <w:t>CDTI</w:t>
            </w:r>
          </w:p>
        </w:tc>
        <w:tc>
          <w:tcPr>
            <w:tcW w:type="dxa" w:w="1800"/>
            <w:vAlign w:val="center"/>
            <w:shd w:fill="F7F9FB"/>
          </w:tcPr>
          <w:p>
            <w:r/>
            <w:r>
              <w:rPr>
                <w:rFonts w:ascii="Arial" w:hAnsi="Arial"/>
                <w:b w:val="0"/>
                <w:color w:val="26323F"/>
                <w:sz w:val="15"/>
              </w:rPr>
              <w:t>998.842,09 €</w:t>
            </w:r>
          </w:p>
        </w:tc>
        <w:tc>
          <w:tcPr>
            <w:tcW w:type="dxa" w:w="3384"/>
            <w:vAlign w:val="center"/>
            <w:shd w:fill="F7F9FB"/>
          </w:tcPr>
          <w:p>
            <w:r/>
            <w:r>
              <w:rPr>
                <w:rFonts w:ascii="Arial" w:hAnsi="Arial"/>
                <w:b w:val="0"/>
                <w:color w:val="26323F"/>
                <w:sz w:val="15"/>
              </w:rPr>
              <w:t>Sistema físico, placa, DfMA, prototipos, ensayos y maquinaria</w:t>
            </w:r>
          </w:p>
        </w:tc>
        <w:tc>
          <w:tcPr>
            <w:tcW w:type="dxa" w:w="2880"/>
            <w:vAlign w:val="center"/>
            <w:shd w:fill="F7F9FB"/>
          </w:tcPr>
          <w:p>
            <w:r/>
            <w:r>
              <w:rPr>
                <w:rFonts w:ascii="Arial" w:hAnsi="Arial"/>
                <w:b w:val="0"/>
                <w:color w:val="26323F"/>
                <w:sz w:val="15"/>
              </w:rPr>
              <w:t>Referencia técnica de alcance; no financiación recibida ni obligación de devolución.</w:t>
            </w:r>
          </w:p>
        </w:tc>
      </w:tr>
      <w:tr>
        <w:tc>
          <w:tcPr>
            <w:tcW w:type="dxa" w:w="1728"/>
            <w:vAlign w:val="center"/>
          </w:tcPr>
          <w:p>
            <w:r/>
            <w:r>
              <w:rPr>
                <w:rFonts w:ascii="Arial" w:hAnsi="Arial"/>
                <w:b w:val="0"/>
                <w:color w:val="26323F"/>
                <w:sz w:val="15"/>
              </w:rPr>
              <w:t>Cervera fase 1</w:t>
            </w:r>
          </w:p>
        </w:tc>
        <w:tc>
          <w:tcPr>
            <w:tcW w:type="dxa" w:w="1800"/>
            <w:vAlign w:val="center"/>
          </w:tcPr>
          <w:p>
            <w:r/>
            <w:r>
              <w:rPr>
                <w:rFonts w:ascii="Arial" w:hAnsi="Arial"/>
                <w:b w:val="0"/>
                <w:color w:val="26323F"/>
                <w:sz w:val="15"/>
              </w:rPr>
              <w:t>837.880,00 €</w:t>
            </w:r>
          </w:p>
        </w:tc>
        <w:tc>
          <w:tcPr>
            <w:tcW w:type="dxa" w:w="3384"/>
            <w:vAlign w:val="center"/>
          </w:tcPr>
          <w:p>
            <w:r/>
            <w:r>
              <w:rPr>
                <w:rFonts w:ascii="Arial" w:hAnsi="Arial"/>
                <w:b w:val="0"/>
                <w:color w:val="26323F"/>
                <w:sz w:val="15"/>
              </w:rPr>
              <w:t>Datos, software, IoT, fabricación inteligente, despiece y cálculo</w:t>
            </w:r>
          </w:p>
        </w:tc>
        <w:tc>
          <w:tcPr>
            <w:tcW w:type="dxa" w:w="2880"/>
            <w:vAlign w:val="center"/>
          </w:tcPr>
          <w:p>
            <w:r/>
            <w:r>
              <w:rPr>
                <w:rFonts w:ascii="Arial" w:hAnsi="Arial"/>
                <w:b w:val="0"/>
                <w:color w:val="26323F"/>
                <w:sz w:val="15"/>
              </w:rPr>
              <w:t>Contraste de complejidad; no valoración independiente.</w:t>
            </w:r>
          </w:p>
        </w:tc>
      </w:tr>
      <w:tr>
        <w:tc>
          <w:tcPr>
            <w:tcW w:type="dxa" w:w="1728"/>
            <w:vAlign w:val="center"/>
            <w:shd w:fill="F7F9FB"/>
          </w:tcPr>
          <w:p>
            <w:r/>
            <w:r>
              <w:rPr>
                <w:rFonts w:ascii="Arial" w:hAnsi="Arial"/>
                <w:b w:val="0"/>
                <w:color w:val="26323F"/>
                <w:sz w:val="15"/>
              </w:rPr>
              <w:t>Tax Lease Leyton</w:t>
            </w:r>
          </w:p>
        </w:tc>
        <w:tc>
          <w:tcPr>
            <w:tcW w:type="dxa" w:w="1800"/>
            <w:vAlign w:val="center"/>
            <w:shd w:fill="F7F9FB"/>
          </w:tcPr>
          <w:p>
            <w:r/>
            <w:r>
              <w:rPr>
                <w:rFonts w:ascii="Arial" w:hAnsi="Arial"/>
                <w:b w:val="0"/>
                <w:color w:val="26323F"/>
                <w:sz w:val="15"/>
              </w:rPr>
              <w:t>2.022.296,00 €</w:t>
            </w:r>
          </w:p>
        </w:tc>
        <w:tc>
          <w:tcPr>
            <w:tcW w:type="dxa" w:w="3384"/>
            <w:vAlign w:val="center"/>
            <w:shd w:fill="F7F9FB"/>
          </w:tcPr>
          <w:p>
            <w:r/>
            <w:r>
              <w:rPr>
                <w:rFonts w:ascii="Arial" w:hAnsi="Arial"/>
                <w:b w:val="0"/>
                <w:color w:val="26323F"/>
                <w:sz w:val="15"/>
              </w:rPr>
              <w:t>Desarrollo integral de placas modulares inteligentes</w:t>
            </w:r>
          </w:p>
        </w:tc>
        <w:tc>
          <w:tcPr>
            <w:tcW w:type="dxa" w:w="2880"/>
            <w:vAlign w:val="center"/>
            <w:shd w:fill="F7F9FB"/>
          </w:tcPr>
          <w:p>
            <w:r/>
            <w:r>
              <w:rPr>
                <w:rFonts w:ascii="Arial" w:hAnsi="Arial"/>
                <w:b w:val="0"/>
                <w:color w:val="26323F"/>
                <w:sz w:val="15"/>
              </w:rPr>
              <w:t>Presupuesto técnico; no ingreso supuesto.</w:t>
            </w:r>
          </w:p>
        </w:tc>
      </w:tr>
      <w:tr>
        <w:tc>
          <w:tcPr>
            <w:tcW w:type="dxa" w:w="1728"/>
            <w:vAlign w:val="center"/>
          </w:tcPr>
          <w:p>
            <w:r/>
            <w:r>
              <w:rPr>
                <w:rFonts w:ascii="Arial" w:hAnsi="Arial"/>
                <w:b w:val="0"/>
                <w:color w:val="26323F"/>
                <w:sz w:val="15"/>
              </w:rPr>
              <w:t>Tax Lease Arcano</w:t>
            </w:r>
          </w:p>
        </w:tc>
        <w:tc>
          <w:tcPr>
            <w:tcW w:type="dxa" w:w="1800"/>
            <w:vAlign w:val="center"/>
          </w:tcPr>
          <w:p>
            <w:r/>
            <w:r>
              <w:rPr>
                <w:rFonts w:ascii="Arial" w:hAnsi="Arial"/>
                <w:b w:val="0"/>
                <w:color w:val="26323F"/>
                <w:sz w:val="15"/>
              </w:rPr>
              <w:t>5.724.400,00 €</w:t>
            </w:r>
          </w:p>
        </w:tc>
        <w:tc>
          <w:tcPr>
            <w:tcW w:type="dxa" w:w="3384"/>
            <w:vAlign w:val="center"/>
          </w:tcPr>
          <w:p>
            <w:r/>
            <w:r>
              <w:rPr>
                <w:rFonts w:ascii="Arial" w:hAnsi="Arial"/>
                <w:b w:val="0"/>
                <w:color w:val="26323F"/>
                <w:sz w:val="15"/>
              </w:rPr>
              <w:t>Proyecto CEREBRO por fases y cadena industrial completa</w:t>
            </w:r>
          </w:p>
        </w:tc>
        <w:tc>
          <w:tcPr>
            <w:tcW w:type="dxa" w:w="2880"/>
            <w:vAlign w:val="center"/>
          </w:tcPr>
          <w:p>
            <w:r/>
            <w:r>
              <w:rPr>
                <w:rFonts w:ascii="Arial" w:hAnsi="Arial"/>
                <w:b w:val="0"/>
                <w:color w:val="26323F"/>
                <w:sz w:val="15"/>
              </w:rPr>
              <w:t>Orden de magnitud de reproducción; no equity value.</w:t>
            </w:r>
          </w:p>
        </w:tc>
      </w:tr>
      <w:tr>
        <w:tc>
          <w:tcPr>
            <w:tcW w:type="dxa" w:w="1728"/>
            <w:vAlign w:val="center"/>
            <w:shd w:fill="F7F9FB"/>
          </w:tcPr>
          <w:p>
            <w:r/>
            <w:r>
              <w:rPr>
                <w:rFonts w:ascii="Arial" w:hAnsi="Arial"/>
                <w:b w:val="0"/>
                <w:color w:val="26323F"/>
                <w:sz w:val="15"/>
              </w:rPr>
              <w:t>CEREBRO por fases</w:t>
            </w:r>
          </w:p>
        </w:tc>
        <w:tc>
          <w:tcPr>
            <w:tcW w:type="dxa" w:w="1800"/>
            <w:vAlign w:val="center"/>
            <w:shd w:fill="F7F9FB"/>
          </w:tcPr>
          <w:p>
            <w:r/>
            <w:r>
              <w:rPr>
                <w:rFonts w:ascii="Arial" w:hAnsi="Arial"/>
                <w:b w:val="0"/>
                <w:color w:val="26323F"/>
                <w:sz w:val="15"/>
              </w:rPr>
              <w:t>6.408.402,00 €</w:t>
            </w:r>
          </w:p>
        </w:tc>
        <w:tc>
          <w:tcPr>
            <w:tcW w:type="dxa" w:w="3384"/>
            <w:vAlign w:val="center"/>
            <w:shd w:fill="F7F9FB"/>
          </w:tcPr>
          <w:p>
            <w:r/>
            <w:r>
              <w:rPr>
                <w:rFonts w:ascii="Arial" w:hAnsi="Arial"/>
                <w:b w:val="0"/>
                <w:color w:val="26323F"/>
                <w:sz w:val="15"/>
              </w:rPr>
              <w:t>Sistema ciberfísico, fábrica, almacén, transporte, montaje, vida y comunidad</w:t>
            </w:r>
          </w:p>
        </w:tc>
        <w:tc>
          <w:tcPr>
            <w:tcW w:type="dxa" w:w="2880"/>
            <w:vAlign w:val="center"/>
            <w:shd w:fill="F7F9FB"/>
          </w:tcPr>
          <w:p>
            <w:r/>
            <w:r>
              <w:rPr>
                <w:rFonts w:ascii="Arial" w:hAnsi="Arial"/>
                <w:b w:val="0"/>
                <w:color w:val="26323F"/>
                <w:sz w:val="15"/>
              </w:rPr>
              <w:t>Mapa de alcance superado por la productización actual.</w:t>
            </w:r>
          </w:p>
        </w:tc>
      </w:tr>
    </w:tbl>
    <w:p/>
    <w:p>
      <w:pPr>
        <w:spacing w:line="271" w:lineRule="auto" w:after="120"/>
      </w:pPr>
      <w:r>
        <w:rPr>
          <w:rFonts w:ascii="Arial" w:hAnsi="Arial"/>
          <w:color w:val="26323F"/>
          <w:sz w:val="20"/>
        </w:rPr>
        <w:t>La lectura prudente es potente: la inversión defendida queda por debajo de varios presupuestos técnicos externos que validan complejidad y alcance. Aun así, esos presupuestos se usan como triangulación de reproducción y no como valor de mercado ni como caja efectivamente recibida.</w:t>
      </w:r>
    </w:p>
    <w:p>
      <w:pPr>
        <w:jc w:val="center"/>
      </w:pPr>
      <w:r>
        <w:drawing>
          <wp:inline xmlns:a="http://schemas.openxmlformats.org/drawingml/2006/main" xmlns:pic="http://schemas.openxmlformats.org/drawingml/2006/picture">
            <wp:extent cx="6355080" cy="3707130"/>
            <wp:docPr id="5" name="Picture 5"/>
            <wp:cNvGraphicFramePr>
              <a:graphicFrameLocks noChangeAspect="1"/>
            </wp:cNvGraphicFramePr>
            <a:graphic>
              <a:graphicData uri="http://schemas.openxmlformats.org/drawingml/2006/picture">
                <pic:pic>
                  <pic:nvPicPr>
                    <pic:cNvPr id="0" name="04_v10_puente_inversion_producto_ingresos.png"/>
                    <pic:cNvPicPr/>
                  </pic:nvPicPr>
                  <pic:blipFill>
                    <a:blip r:embed="rId14"/>
                    <a:stretch>
                      <a:fillRect/>
                    </a:stretch>
                  </pic:blipFill>
                  <pic:spPr>
                    <a:xfrm>
                      <a:off x="0" y="0"/>
                      <a:ext cx="6355080" cy="3707130"/>
                    </a:xfrm>
                    <a:prstGeom prst="rect"/>
                  </pic:spPr>
                </pic:pic>
              </a:graphicData>
            </a:graphic>
          </wp:inline>
        </w:drawing>
      </w:r>
    </w:p>
    <w:p>
      <w:pPr>
        <w:spacing w:after="160"/>
        <w:jc w:val="center"/>
      </w:pPr>
      <w:r>
        <w:rPr>
          <w:rFonts w:ascii="Arial" w:hAnsi="Arial"/>
          <w:i/>
          <w:color w:val="667085"/>
          <w:sz w:val="17"/>
        </w:rPr>
        <w:t>Figura 3. Puente entre inversión acumulada, activo actual y motores de monetización.</w:t>
      </w:r>
    </w:p>
    <w:p>
      <w:pPr>
        <w:pStyle w:val="Heading1"/>
      </w:pPr>
      <w:r>
        <w:rPr>
          <w:rFonts w:ascii="Arial" w:hAnsi="Arial"/>
          <w:color w:val="0B1F33"/>
        </w:rPr>
        <w:t>5. Producto: arquitectura CUEVA OS</w:t>
      </w:r>
    </w:p>
    <w:p>
      <w:pPr>
        <w:spacing w:line="271" w:lineRule="auto" w:after="120"/>
      </w:pPr>
      <w:r>
        <w:rPr>
          <w:rFonts w:ascii="Arial" w:hAnsi="Arial"/>
          <w:color w:val="26323F"/>
          <w:sz w:val="20"/>
        </w:rPr>
        <w:t>El producto se construye por capas. Cada capa tiene función técnica, pagador potencial, trigger económico y evidencia de entrega. Esa modularidad permite entrar por P0/P1/P3 sin exigir al cliente adoptar todo el sistema desde el primer día.</w:t>
      </w:r>
    </w:p>
    <w:p>
      <w:pPr>
        <w:jc w:val="center"/>
      </w:pPr>
      <w:r>
        <w:drawing>
          <wp:inline xmlns:a="http://schemas.openxmlformats.org/drawingml/2006/main" xmlns:pic="http://schemas.openxmlformats.org/drawingml/2006/picture">
            <wp:extent cx="6355080" cy="3707130"/>
            <wp:docPr id="6" name="Picture 6"/>
            <wp:cNvGraphicFramePr>
              <a:graphicFrameLocks noChangeAspect="1"/>
            </wp:cNvGraphicFramePr>
            <a:graphic>
              <a:graphicData uri="http://schemas.openxmlformats.org/drawingml/2006/picture">
                <pic:pic>
                  <pic:nvPicPr>
                    <pic:cNvPr id="0" name="14_product_portfolio.png"/>
                    <pic:cNvPicPr/>
                  </pic:nvPicPr>
                  <pic:blipFill>
                    <a:blip r:embed="rId15"/>
                    <a:stretch>
                      <a:fillRect/>
                    </a:stretch>
                  </pic:blipFill>
                  <pic:spPr>
                    <a:xfrm>
                      <a:off x="0" y="0"/>
                      <a:ext cx="6355080" cy="3707130"/>
                    </a:xfrm>
                    <a:prstGeom prst="rect"/>
                  </pic:spPr>
                </pic:pic>
              </a:graphicData>
            </a:graphic>
          </wp:inline>
        </w:drawing>
      </w:r>
    </w:p>
    <w:p>
      <w:pPr>
        <w:spacing w:after="160"/>
        <w:jc w:val="center"/>
      </w:pPr>
      <w:r>
        <w:rPr>
          <w:rFonts w:ascii="Arial" w:hAnsi="Arial"/>
          <w:i/>
          <w:color w:val="667085"/>
          <w:sz w:val="17"/>
        </w:rPr>
        <w:t>Figura 4. Portfolio de producto sobre un núcleo común de Asset OS.</w:t>
      </w:r>
    </w:p>
    <w:tbl>
      <w:tblPr>
        <w:tblStyle w:val="TableGrid"/>
        <w:tblW w:type="auto" w:w="0"/>
        <w:tblLook w:firstColumn="1" w:firstRow="1" w:lastColumn="0" w:lastRow="0" w:noHBand="0" w:noVBand="1" w:val="04A0"/>
      </w:tblPr>
      <w:tblGrid>
        <w:gridCol w:w="3456"/>
        <w:gridCol w:w="3456"/>
        <w:gridCol w:w="3456"/>
      </w:tblGrid>
      <w:tr>
        <w:tc>
          <w:tcPr>
            <w:tcW w:type="dxa" w:w="2088"/>
            <w:vAlign w:val="center"/>
            <w:shd w:fill="0B1F33"/>
          </w:tcPr>
          <w:p>
            <w:r/>
            <w:r>
              <w:rPr>
                <w:rFonts w:ascii="Arial" w:hAnsi="Arial"/>
                <w:b/>
                <w:color w:val="FFFFFF"/>
                <w:sz w:val="15"/>
              </w:rPr>
              <w:t>Capa</w:t>
            </w:r>
          </w:p>
        </w:tc>
        <w:tc>
          <w:tcPr>
            <w:tcW w:type="dxa" w:w="4536"/>
            <w:vAlign w:val="center"/>
            <w:shd w:fill="0B1F33"/>
          </w:tcPr>
          <w:p>
            <w:r/>
            <w:r>
              <w:rPr>
                <w:rFonts w:ascii="Arial" w:hAnsi="Arial"/>
                <w:b/>
                <w:color w:val="FFFFFF"/>
                <w:sz w:val="15"/>
              </w:rPr>
              <w:t>Función</w:t>
            </w:r>
          </w:p>
        </w:tc>
        <w:tc>
          <w:tcPr>
            <w:tcW w:type="dxa" w:w="2880"/>
            <w:vAlign w:val="center"/>
            <w:shd w:fill="0B1F33"/>
          </w:tcPr>
          <w:p>
            <w:r/>
            <w:r>
              <w:rPr>
                <w:rFonts w:ascii="Arial" w:hAnsi="Arial"/>
                <w:b/>
                <w:color w:val="FFFFFF"/>
                <w:sz w:val="15"/>
              </w:rPr>
              <w:t>Monetización</w:t>
            </w:r>
          </w:p>
        </w:tc>
      </w:tr>
      <w:tr>
        <w:tc>
          <w:tcPr>
            <w:tcW w:type="dxa" w:w="2088"/>
            <w:vAlign w:val="center"/>
            <w:shd w:fill="F7F9FB"/>
          </w:tcPr>
          <w:p>
            <w:r/>
            <w:r>
              <w:rPr>
                <w:rFonts w:ascii="Arial" w:hAnsi="Arial"/>
                <w:b w:val="0"/>
                <w:color w:val="26323F"/>
                <w:sz w:val="15"/>
              </w:rPr>
              <w:t>Identity Layer</w:t>
            </w:r>
          </w:p>
        </w:tc>
        <w:tc>
          <w:tcPr>
            <w:tcW w:type="dxa" w:w="4536"/>
            <w:vAlign w:val="center"/>
            <w:shd w:fill="F7F9FB"/>
          </w:tcPr>
          <w:p>
            <w:r/>
            <w:r>
              <w:rPr>
                <w:rFonts w:ascii="Arial" w:hAnsi="Arial"/>
                <w:b w:val="0"/>
                <w:color w:val="26323F"/>
                <w:sz w:val="15"/>
              </w:rPr>
              <w:t>Asset ID, UID/chip por pieza, relación pieza-lote-proyecto-stock</w:t>
            </w:r>
          </w:p>
        </w:tc>
        <w:tc>
          <w:tcPr>
            <w:tcW w:type="dxa" w:w="2880"/>
            <w:vAlign w:val="center"/>
            <w:shd w:fill="F7F9FB"/>
          </w:tcPr>
          <w:p>
            <w:r/>
            <w:r>
              <w:rPr>
                <w:rFonts w:ascii="Arial" w:hAnsi="Arial"/>
                <w:b w:val="0"/>
                <w:color w:val="26323F"/>
                <w:sz w:val="15"/>
              </w:rPr>
              <w:t>Physical Enablement, Asset Activation</w:t>
            </w:r>
          </w:p>
        </w:tc>
      </w:tr>
      <w:tr>
        <w:tc>
          <w:tcPr>
            <w:tcW w:type="dxa" w:w="2088"/>
            <w:vAlign w:val="center"/>
          </w:tcPr>
          <w:p>
            <w:r/>
            <w:r>
              <w:rPr>
                <w:rFonts w:ascii="Arial" w:hAnsi="Arial"/>
                <w:b w:val="0"/>
                <w:color w:val="26323F"/>
                <w:sz w:val="15"/>
              </w:rPr>
              <w:t>Evidence Layer</w:t>
            </w:r>
          </w:p>
        </w:tc>
        <w:tc>
          <w:tcPr>
            <w:tcW w:type="dxa" w:w="4536"/>
            <w:vAlign w:val="center"/>
          </w:tcPr>
          <w:p>
            <w:r/>
            <w:r>
              <w:rPr>
                <w:rFonts w:ascii="Arial" w:hAnsi="Arial"/>
                <w:b w:val="0"/>
                <w:color w:val="26323F"/>
                <w:sz w:val="15"/>
              </w:rPr>
              <w:t>POI, fotos, firmas, estados, recepción, no conformidades</w:t>
            </w:r>
          </w:p>
        </w:tc>
        <w:tc>
          <w:tcPr>
            <w:tcW w:type="dxa" w:w="2880"/>
            <w:vAlign w:val="center"/>
          </w:tcPr>
          <w:p>
            <w:r/>
            <w:r>
              <w:rPr>
                <w:rFonts w:ascii="Arial" w:hAnsi="Arial"/>
                <w:b w:val="0"/>
                <w:color w:val="26323F"/>
                <w:sz w:val="15"/>
              </w:rPr>
              <w:t>POI Evidence Pack, Site Proof</w:t>
            </w:r>
          </w:p>
        </w:tc>
      </w:tr>
      <w:tr>
        <w:tc>
          <w:tcPr>
            <w:tcW w:type="dxa" w:w="2088"/>
            <w:vAlign w:val="center"/>
            <w:shd w:fill="F7F9FB"/>
          </w:tcPr>
          <w:p>
            <w:r/>
            <w:r>
              <w:rPr>
                <w:rFonts w:ascii="Arial" w:hAnsi="Arial"/>
                <w:b w:val="0"/>
                <w:color w:val="26323F"/>
                <w:sz w:val="15"/>
              </w:rPr>
              <w:t>Documentation Layer</w:t>
            </w:r>
          </w:p>
        </w:tc>
        <w:tc>
          <w:tcPr>
            <w:tcW w:type="dxa" w:w="4536"/>
            <w:vAlign w:val="center"/>
            <w:shd w:fill="F7F9FB"/>
          </w:tcPr>
          <w:p>
            <w:r/>
            <w:r>
              <w:rPr>
                <w:rFonts w:ascii="Arial" w:hAnsi="Arial"/>
                <w:b w:val="0"/>
                <w:color w:val="26323F"/>
                <w:sz w:val="15"/>
              </w:rPr>
              <w:t>DPP, Carpeta Madre, certificados, garantías y dossier vivo</w:t>
            </w:r>
          </w:p>
        </w:tc>
        <w:tc>
          <w:tcPr>
            <w:tcW w:type="dxa" w:w="2880"/>
            <w:vAlign w:val="center"/>
            <w:shd w:fill="F7F9FB"/>
          </w:tcPr>
          <w:p>
            <w:r/>
            <w:r>
              <w:rPr>
                <w:rFonts w:ascii="Arial" w:hAnsi="Arial"/>
                <w:b w:val="0"/>
                <w:color w:val="26323F"/>
                <w:sz w:val="15"/>
              </w:rPr>
              <w:t>DPP setup + módulos compliance</w:t>
            </w:r>
          </w:p>
        </w:tc>
      </w:tr>
      <w:tr>
        <w:tc>
          <w:tcPr>
            <w:tcW w:type="dxa" w:w="2088"/>
            <w:vAlign w:val="center"/>
          </w:tcPr>
          <w:p>
            <w:r/>
            <w:r>
              <w:rPr>
                <w:rFonts w:ascii="Arial" w:hAnsi="Arial"/>
                <w:b w:val="0"/>
                <w:color w:val="26323F"/>
                <w:sz w:val="15"/>
              </w:rPr>
              <w:t>Workflow Layer</w:t>
            </w:r>
          </w:p>
        </w:tc>
        <w:tc>
          <w:tcPr>
            <w:tcW w:type="dxa" w:w="4536"/>
            <w:vAlign w:val="center"/>
          </w:tcPr>
          <w:p>
            <w:r/>
            <w:r>
              <w:rPr>
                <w:rFonts w:ascii="Arial" w:hAnsi="Arial"/>
                <w:b w:val="0"/>
                <w:color w:val="26323F"/>
                <w:sz w:val="15"/>
              </w:rPr>
              <w:t>Factory OS, Site OS, Warehouse OS, Project Room</w:t>
            </w:r>
          </w:p>
        </w:tc>
        <w:tc>
          <w:tcPr>
            <w:tcW w:type="dxa" w:w="2880"/>
            <w:vAlign w:val="center"/>
          </w:tcPr>
          <w:p>
            <w:r/>
            <w:r>
              <w:rPr>
                <w:rFonts w:ascii="Arial" w:hAnsi="Arial"/>
                <w:b w:val="0"/>
                <w:color w:val="26323F"/>
                <w:sz w:val="15"/>
              </w:rPr>
              <w:t>Paquetes P0-P5, licencias partner</w:t>
            </w:r>
          </w:p>
        </w:tc>
      </w:tr>
      <w:tr>
        <w:tc>
          <w:tcPr>
            <w:tcW w:type="dxa" w:w="2088"/>
            <w:vAlign w:val="center"/>
            <w:shd w:fill="F7F9FB"/>
          </w:tcPr>
          <w:p>
            <w:r/>
            <w:r>
              <w:rPr>
                <w:rFonts w:ascii="Arial" w:hAnsi="Arial"/>
                <w:b w:val="0"/>
                <w:color w:val="26323F"/>
                <w:sz w:val="15"/>
              </w:rPr>
              <w:t>Operating Layer</w:t>
            </w:r>
          </w:p>
        </w:tc>
        <w:tc>
          <w:tcPr>
            <w:tcW w:type="dxa" w:w="4536"/>
            <w:vAlign w:val="center"/>
            <w:shd w:fill="F7F9FB"/>
          </w:tcPr>
          <w:p>
            <w:r/>
            <w:r>
              <w:rPr>
                <w:rFonts w:ascii="Arial" w:hAnsi="Arial"/>
                <w:b w:val="0"/>
                <w:color w:val="26323F"/>
                <w:sz w:val="15"/>
              </w:rPr>
              <w:t>Mantenimiento, incidencias, garantías, SLA y reposiciones</w:t>
            </w:r>
          </w:p>
        </w:tc>
        <w:tc>
          <w:tcPr>
            <w:tcW w:type="dxa" w:w="2880"/>
            <w:vAlign w:val="center"/>
            <w:shd w:fill="F7F9FB"/>
          </w:tcPr>
          <w:p>
            <w:r/>
            <w:r>
              <w:rPr>
                <w:rFonts w:ascii="Arial" w:hAnsi="Arial"/>
                <w:b w:val="0"/>
                <w:color w:val="26323F"/>
                <w:sz w:val="15"/>
              </w:rPr>
              <w:t>Network Maintenance</w:t>
            </w:r>
          </w:p>
        </w:tc>
      </w:tr>
      <w:tr>
        <w:tc>
          <w:tcPr>
            <w:tcW w:type="dxa" w:w="2088"/>
            <w:vAlign w:val="center"/>
          </w:tcPr>
          <w:p>
            <w:r/>
            <w:r>
              <w:rPr>
                <w:rFonts w:ascii="Arial" w:hAnsi="Arial"/>
                <w:b w:val="0"/>
                <w:color w:val="26323F"/>
                <w:sz w:val="15"/>
              </w:rPr>
              <w:t>Data Layer</w:t>
            </w:r>
          </w:p>
        </w:tc>
        <w:tc>
          <w:tcPr>
            <w:tcW w:type="dxa" w:w="4536"/>
            <w:vAlign w:val="center"/>
          </w:tcPr>
          <w:p>
            <w:r/>
            <w:r>
              <w:rPr>
                <w:rFonts w:ascii="Arial" w:hAnsi="Arial"/>
                <w:b w:val="0"/>
                <w:color w:val="26323F"/>
                <w:sz w:val="15"/>
              </w:rPr>
              <w:t>APIs, reporting, permisos, ESG, circularidad y datos de riesgo</w:t>
            </w:r>
          </w:p>
        </w:tc>
        <w:tc>
          <w:tcPr>
            <w:tcW w:type="dxa" w:w="2880"/>
            <w:vAlign w:val="center"/>
          </w:tcPr>
          <w:p>
            <w:r/>
            <w:r>
              <w:rPr>
                <w:rFonts w:ascii="Arial" w:hAnsi="Arial"/>
                <w:b w:val="0"/>
                <w:color w:val="26323F"/>
                <w:sz w:val="15"/>
              </w:rPr>
              <w:t>Data Layers, contratos enterprise</w:t>
            </w:r>
          </w:p>
        </w:tc>
      </w:tr>
      <w:tr>
        <w:tc>
          <w:tcPr>
            <w:tcW w:type="dxa" w:w="2088"/>
            <w:vAlign w:val="center"/>
            <w:shd w:fill="F7F9FB"/>
          </w:tcPr>
          <w:p>
            <w:r/>
            <w:r>
              <w:rPr>
                <w:rFonts w:ascii="Arial" w:hAnsi="Arial"/>
                <w:b w:val="0"/>
                <w:color w:val="26323F"/>
                <w:sz w:val="15"/>
              </w:rPr>
              <w:t>Intelligence / AI</w:t>
            </w:r>
          </w:p>
        </w:tc>
        <w:tc>
          <w:tcPr>
            <w:tcW w:type="dxa" w:w="4536"/>
            <w:vAlign w:val="center"/>
            <w:shd w:fill="F7F9FB"/>
          </w:tcPr>
          <w:p>
            <w:r/>
            <w:r>
              <w:rPr>
                <w:rFonts w:ascii="Arial" w:hAnsi="Arial"/>
                <w:b w:val="0"/>
                <w:color w:val="26323F"/>
                <w:sz w:val="15"/>
              </w:rPr>
              <w:t>Designer generativo, ingeniero virtual, GIS, agentes y alertas</w:t>
            </w:r>
          </w:p>
        </w:tc>
        <w:tc>
          <w:tcPr>
            <w:tcW w:type="dxa" w:w="2880"/>
            <w:vAlign w:val="center"/>
            <w:shd w:fill="F7F9FB"/>
          </w:tcPr>
          <w:p>
            <w:r/>
            <w:r>
              <w:rPr>
                <w:rFonts w:ascii="Arial" w:hAnsi="Arial"/>
                <w:b w:val="0"/>
                <w:color w:val="26323F"/>
                <w:sz w:val="15"/>
              </w:rPr>
              <w:t>Módulos premium y productividad</w:t>
            </w:r>
          </w:p>
        </w:tc>
      </w:tr>
    </w:tbl>
    <w:p/>
    <w:p>
      <w:pPr>
        <w:pStyle w:val="Heading2"/>
      </w:pPr>
      <w:r>
        <w:rPr>
          <w:rFonts w:ascii="Arial" w:hAnsi="Arial"/>
          <w:color w:val="0B1F33"/>
        </w:rPr>
        <w:t>5.1. Paquetes P0-P5</w:t>
      </w:r>
    </w:p>
    <w:tbl>
      <w:tblPr>
        <w:tblStyle w:val="TableGrid"/>
        <w:tblW w:type="auto" w:w="0"/>
        <w:tblLook w:firstColumn="1" w:firstRow="1" w:lastColumn="0" w:lastRow="0" w:noHBand="0" w:noVBand="1" w:val="04A0"/>
      </w:tblPr>
      <w:tblGrid>
        <w:gridCol w:w="3456"/>
        <w:gridCol w:w="3456"/>
        <w:gridCol w:w="3456"/>
      </w:tblGrid>
      <w:tr>
        <w:tc>
          <w:tcPr>
            <w:tcW w:type="dxa" w:w="2232"/>
            <w:vAlign w:val="center"/>
            <w:shd w:fill="0B1F33"/>
          </w:tcPr>
          <w:p>
            <w:r/>
            <w:r>
              <w:rPr>
                <w:rFonts w:ascii="Arial" w:hAnsi="Arial"/>
                <w:b/>
                <w:color w:val="FFFFFF"/>
                <w:sz w:val="15"/>
              </w:rPr>
              <w:t>Paquete</w:t>
            </w:r>
          </w:p>
        </w:tc>
        <w:tc>
          <w:tcPr>
            <w:tcW w:type="dxa" w:w="4320"/>
            <w:vAlign w:val="center"/>
            <w:shd w:fill="0B1F33"/>
          </w:tcPr>
          <w:p>
            <w:r/>
            <w:r>
              <w:rPr>
                <w:rFonts w:ascii="Arial" w:hAnsi="Arial"/>
                <w:b/>
                <w:color w:val="FFFFFF"/>
                <w:sz w:val="15"/>
              </w:rPr>
              <w:t>Descriptiva técnica</w:t>
            </w:r>
          </w:p>
        </w:tc>
        <w:tc>
          <w:tcPr>
            <w:tcW w:type="dxa" w:w="3024"/>
            <w:vAlign w:val="center"/>
            <w:shd w:fill="0B1F33"/>
          </w:tcPr>
          <w:p>
            <w:r/>
            <w:r>
              <w:rPr>
                <w:rFonts w:ascii="Arial" w:hAnsi="Arial"/>
                <w:b/>
                <w:color w:val="FFFFFF"/>
                <w:sz w:val="15"/>
              </w:rPr>
              <w:t>Entregable / gate</w:t>
            </w:r>
          </w:p>
        </w:tc>
      </w:tr>
      <w:tr>
        <w:tc>
          <w:tcPr>
            <w:tcW w:type="dxa" w:w="2232"/>
            <w:vAlign w:val="center"/>
            <w:shd w:fill="F7F9FB"/>
          </w:tcPr>
          <w:p>
            <w:r/>
            <w:r>
              <w:rPr>
                <w:rFonts w:ascii="Arial" w:hAnsi="Arial"/>
                <w:b w:val="0"/>
                <w:color w:val="26323F"/>
                <w:sz w:val="15"/>
              </w:rPr>
              <w:t>P0 Discovery &amp; Blueprint</w:t>
            </w:r>
          </w:p>
        </w:tc>
        <w:tc>
          <w:tcPr>
            <w:tcW w:type="dxa" w:w="4320"/>
            <w:vAlign w:val="center"/>
            <w:shd w:fill="F7F9FB"/>
          </w:tcPr>
          <w:p>
            <w:r/>
            <w:r>
              <w:rPr>
                <w:rFonts w:ascii="Arial" w:hAnsi="Arial"/>
                <w:b w:val="0"/>
                <w:color w:val="26323F"/>
                <w:sz w:val="15"/>
              </w:rPr>
              <w:t>Diagnóstico de proceso, actores, datos, planta/proyecto, baseline y business case.</w:t>
            </w:r>
          </w:p>
        </w:tc>
        <w:tc>
          <w:tcPr>
            <w:tcW w:type="dxa" w:w="3024"/>
            <w:vAlign w:val="center"/>
            <w:shd w:fill="F7F9FB"/>
          </w:tcPr>
          <w:p>
            <w:r/>
            <w:r>
              <w:rPr>
                <w:rFonts w:ascii="Arial" w:hAnsi="Arial"/>
                <w:b w:val="0"/>
                <w:color w:val="26323F"/>
                <w:sz w:val="15"/>
              </w:rPr>
              <w:t>Mapa de flujo, ROI, backlog, pricing y gate de piloto.</w:t>
            </w:r>
          </w:p>
        </w:tc>
      </w:tr>
      <w:tr>
        <w:tc>
          <w:tcPr>
            <w:tcW w:type="dxa" w:w="2232"/>
            <w:vAlign w:val="center"/>
          </w:tcPr>
          <w:p>
            <w:r/>
            <w:r>
              <w:rPr>
                <w:rFonts w:ascii="Arial" w:hAnsi="Arial"/>
                <w:b w:val="0"/>
                <w:color w:val="26323F"/>
                <w:sz w:val="15"/>
              </w:rPr>
              <w:t>P1 Factory Core</w:t>
            </w:r>
          </w:p>
        </w:tc>
        <w:tc>
          <w:tcPr>
            <w:tcW w:type="dxa" w:w="4320"/>
            <w:vAlign w:val="center"/>
          </w:tcPr>
          <w:p>
            <w:r/>
            <w:r>
              <w:rPr>
                <w:rFonts w:ascii="Arial" w:hAnsi="Arial"/>
                <w:b w:val="0"/>
                <w:color w:val="26323F"/>
                <w:sz w:val="15"/>
              </w:rPr>
              <w:t>Digitalización de fabricación, Asset ID, comandas, QA, estados y liberación.</w:t>
            </w:r>
          </w:p>
        </w:tc>
        <w:tc>
          <w:tcPr>
            <w:tcW w:type="dxa" w:w="3024"/>
            <w:vAlign w:val="center"/>
          </w:tcPr>
          <w:p>
            <w:r/>
            <w:r>
              <w:rPr>
                <w:rFonts w:ascii="Arial" w:hAnsi="Arial"/>
                <w:b w:val="0"/>
                <w:color w:val="26323F"/>
                <w:sz w:val="15"/>
              </w:rPr>
              <w:t>Planta con trazabilidad base y m² fabricado verificable.</w:t>
            </w:r>
          </w:p>
        </w:tc>
      </w:tr>
      <w:tr>
        <w:tc>
          <w:tcPr>
            <w:tcW w:type="dxa" w:w="2232"/>
            <w:vAlign w:val="center"/>
            <w:shd w:fill="F7F9FB"/>
          </w:tcPr>
          <w:p>
            <w:r/>
            <w:r>
              <w:rPr>
                <w:rFonts w:ascii="Arial" w:hAnsi="Arial"/>
                <w:b w:val="0"/>
                <w:color w:val="26323F"/>
                <w:sz w:val="15"/>
              </w:rPr>
              <w:t>P2 Warehouse &amp; Logistics</w:t>
            </w:r>
          </w:p>
        </w:tc>
        <w:tc>
          <w:tcPr>
            <w:tcW w:type="dxa" w:w="4320"/>
            <w:vAlign w:val="center"/>
            <w:shd w:fill="F7F9FB"/>
          </w:tcPr>
          <w:p>
            <w:r/>
            <w:r>
              <w:rPr>
                <w:rFonts w:ascii="Arial" w:hAnsi="Arial"/>
                <w:b w:val="0"/>
                <w:color w:val="26323F"/>
                <w:sz w:val="15"/>
              </w:rPr>
              <w:t>Stock, calles/plazas, packing, rutas, expedición, recepción y continuidad lote-proyecto.</w:t>
            </w:r>
          </w:p>
        </w:tc>
        <w:tc>
          <w:tcPr>
            <w:tcW w:type="dxa" w:w="3024"/>
            <w:vAlign w:val="center"/>
            <w:shd w:fill="F7F9FB"/>
          </w:tcPr>
          <w:p>
            <w:r/>
            <w:r>
              <w:rPr>
                <w:rFonts w:ascii="Arial" w:hAnsi="Arial"/>
                <w:b w:val="0"/>
                <w:color w:val="26323F"/>
                <w:sz w:val="15"/>
              </w:rPr>
              <w:t>Cadena física reconciliada hasta obra.</w:t>
            </w:r>
          </w:p>
        </w:tc>
      </w:tr>
      <w:tr>
        <w:tc>
          <w:tcPr>
            <w:tcW w:type="dxa" w:w="2232"/>
            <w:vAlign w:val="center"/>
          </w:tcPr>
          <w:p>
            <w:r/>
            <w:r>
              <w:rPr>
                <w:rFonts w:ascii="Arial" w:hAnsi="Arial"/>
                <w:b w:val="0"/>
                <w:color w:val="26323F"/>
                <w:sz w:val="15"/>
              </w:rPr>
              <w:t>P3 Site Proof / POI</w:t>
            </w:r>
          </w:p>
        </w:tc>
        <w:tc>
          <w:tcPr>
            <w:tcW w:type="dxa" w:w="4320"/>
            <w:vAlign w:val="center"/>
          </w:tcPr>
          <w:p>
            <w:r/>
            <w:r>
              <w:rPr>
                <w:rFonts w:ascii="Arial" w:hAnsi="Arial"/>
                <w:b w:val="0"/>
                <w:color w:val="26323F"/>
                <w:sz w:val="15"/>
              </w:rPr>
              <w:t>Recepción, montaje, cuadrillas, reglas de cierre, evidencia y no conformidades.</w:t>
            </w:r>
          </w:p>
        </w:tc>
        <w:tc>
          <w:tcPr>
            <w:tcW w:type="dxa" w:w="3024"/>
            <w:vAlign w:val="center"/>
          </w:tcPr>
          <w:p>
            <w:r/>
            <w:r>
              <w:rPr>
                <w:rFonts w:ascii="Arial" w:hAnsi="Arial"/>
                <w:b w:val="0"/>
                <w:color w:val="26323F"/>
                <w:sz w:val="15"/>
              </w:rPr>
              <w:t>Prueba física de instalación auditable.</w:t>
            </w:r>
          </w:p>
        </w:tc>
      </w:tr>
      <w:tr>
        <w:tc>
          <w:tcPr>
            <w:tcW w:type="dxa" w:w="2232"/>
            <w:vAlign w:val="center"/>
            <w:shd w:fill="F7F9FB"/>
          </w:tcPr>
          <w:p>
            <w:r/>
            <w:r>
              <w:rPr>
                <w:rFonts w:ascii="Arial" w:hAnsi="Arial"/>
                <w:b w:val="0"/>
                <w:color w:val="26323F"/>
                <w:sz w:val="15"/>
              </w:rPr>
              <w:t>P4 DPP / Carpeta Madre</w:t>
            </w:r>
          </w:p>
        </w:tc>
        <w:tc>
          <w:tcPr>
            <w:tcW w:type="dxa" w:w="4320"/>
            <w:vAlign w:val="center"/>
            <w:shd w:fill="F7F9FB"/>
          </w:tcPr>
          <w:p>
            <w:r/>
            <w:r>
              <w:rPr>
                <w:rFonts w:ascii="Arial" w:hAnsi="Arial"/>
                <w:b w:val="0"/>
                <w:color w:val="26323F"/>
                <w:sz w:val="15"/>
              </w:rPr>
              <w:t>Documentación viva del activo, certificados, garantías, mantenimiento y cambios.</w:t>
            </w:r>
          </w:p>
        </w:tc>
        <w:tc>
          <w:tcPr>
            <w:tcW w:type="dxa" w:w="3024"/>
            <w:vAlign w:val="center"/>
            <w:shd w:fill="F7F9FB"/>
          </w:tcPr>
          <w:p>
            <w:r/>
            <w:r>
              <w:rPr>
                <w:rFonts w:ascii="Arial" w:hAnsi="Arial"/>
                <w:b w:val="0"/>
                <w:color w:val="26323F"/>
                <w:sz w:val="15"/>
              </w:rPr>
              <w:t>Entrega documental estructurada por activo.</w:t>
            </w:r>
          </w:p>
        </w:tc>
      </w:tr>
      <w:tr>
        <w:tc>
          <w:tcPr>
            <w:tcW w:type="dxa" w:w="2232"/>
            <w:vAlign w:val="center"/>
          </w:tcPr>
          <w:p>
            <w:r/>
            <w:r>
              <w:rPr>
                <w:rFonts w:ascii="Arial" w:hAnsi="Arial"/>
                <w:b w:val="0"/>
                <w:color w:val="26323F"/>
                <w:sz w:val="15"/>
              </w:rPr>
              <w:t>P5 Data / Risk / Market</w:t>
            </w:r>
          </w:p>
        </w:tc>
        <w:tc>
          <w:tcPr>
            <w:tcW w:type="dxa" w:w="4320"/>
            <w:vAlign w:val="center"/>
          </w:tcPr>
          <w:p>
            <w:r/>
            <w:r>
              <w:rPr>
                <w:rFonts w:ascii="Arial" w:hAnsi="Arial"/>
                <w:b w:val="0"/>
                <w:color w:val="26323F"/>
                <w:sz w:val="15"/>
              </w:rPr>
              <w:t>Reporting, permisos, ESG, circularidad, marketplace, APIs y servicios de riesgo.</w:t>
            </w:r>
          </w:p>
        </w:tc>
        <w:tc>
          <w:tcPr>
            <w:tcW w:type="dxa" w:w="3024"/>
            <w:vAlign w:val="center"/>
          </w:tcPr>
          <w:p>
            <w:r/>
            <w:r>
              <w:rPr>
                <w:rFonts w:ascii="Arial" w:hAnsi="Arial"/>
                <w:b w:val="0"/>
                <w:color w:val="26323F"/>
                <w:sz w:val="15"/>
              </w:rPr>
              <w:t>Recurrencia sobre stock vivo y datos reutilizables.</w:t>
            </w:r>
          </w:p>
        </w:tc>
      </w:tr>
    </w:tbl>
    <w:p/>
    <w:p>
      <w:pPr>
        <w:pStyle w:val="Heading1"/>
      </w:pPr>
      <w:r>
        <w:rPr>
          <w:rFonts w:ascii="Arial" w:hAnsi="Arial"/>
          <w:color w:val="0B1F33"/>
        </w:rPr>
        <w:t>6. Líneas de producto y verticales</w:t>
      </w:r>
    </w:p>
    <w:p>
      <w:pPr>
        <w:spacing w:line="271" w:lineRule="auto" w:after="120"/>
      </w:pPr>
      <w:r>
        <w:rPr>
          <w:rFonts w:ascii="Arial" w:hAnsi="Arial"/>
          <w:color w:val="26323F"/>
          <w:sz w:val="20"/>
        </w:rPr>
        <w:t>CUEVA Total no es una línea única. Es un conjunto de productos y verticales que comparten identidad, evidencia y datos. La ventaja competitiva está en que cada nueva vertical reutiliza el núcleo y añade vocabulario comercial específico.</w:t>
      </w:r>
    </w:p>
    <w:tbl>
      <w:tblPr>
        <w:tblStyle w:val="TableGrid"/>
        <w:tblW w:type="auto" w:w="0"/>
        <w:tblLook w:firstColumn="1" w:firstRow="1" w:lastColumn="0" w:lastRow="0" w:noHBand="0" w:noVBand="1" w:val="04A0"/>
      </w:tblPr>
      <w:tblGrid>
        <w:gridCol w:w="2592"/>
        <w:gridCol w:w="2592"/>
        <w:gridCol w:w="2592"/>
        <w:gridCol w:w="2592"/>
      </w:tblGrid>
      <w:tr>
        <w:tc>
          <w:tcPr>
            <w:tcW w:type="dxa" w:w="1944"/>
            <w:vAlign w:val="center"/>
            <w:shd w:fill="0B1F33"/>
          </w:tcPr>
          <w:p>
            <w:r/>
            <w:r>
              <w:rPr>
                <w:rFonts w:ascii="Arial" w:hAnsi="Arial"/>
                <w:b/>
                <w:color w:val="FFFFFF"/>
                <w:sz w:val="14"/>
              </w:rPr>
              <w:t>Línea</w:t>
            </w:r>
          </w:p>
        </w:tc>
        <w:tc>
          <w:tcPr>
            <w:tcW w:type="dxa" w:w="3312"/>
            <w:vAlign w:val="center"/>
            <w:shd w:fill="0B1F33"/>
          </w:tcPr>
          <w:p>
            <w:r/>
            <w:r>
              <w:rPr>
                <w:rFonts w:ascii="Arial" w:hAnsi="Arial"/>
                <w:b/>
                <w:color w:val="FFFFFF"/>
                <w:sz w:val="14"/>
              </w:rPr>
              <w:t>Qué vende</w:t>
            </w:r>
          </w:p>
        </w:tc>
        <w:tc>
          <w:tcPr>
            <w:tcW w:type="dxa" w:w="2232"/>
            <w:vAlign w:val="center"/>
            <w:shd w:fill="0B1F33"/>
          </w:tcPr>
          <w:p>
            <w:r/>
            <w:r>
              <w:rPr>
                <w:rFonts w:ascii="Arial" w:hAnsi="Arial"/>
                <w:b/>
                <w:color w:val="FFFFFF"/>
                <w:sz w:val="14"/>
              </w:rPr>
              <w:t>Cliente / pagador</w:t>
            </w:r>
          </w:p>
        </w:tc>
        <w:tc>
          <w:tcPr>
            <w:tcW w:type="dxa" w:w="1944"/>
            <w:vAlign w:val="center"/>
            <w:shd w:fill="0B1F33"/>
          </w:tcPr>
          <w:p>
            <w:r/>
            <w:r>
              <w:rPr>
                <w:rFonts w:ascii="Arial" w:hAnsi="Arial"/>
                <w:b/>
                <w:color w:val="FFFFFF"/>
                <w:sz w:val="14"/>
              </w:rPr>
              <w:t>Métrica</w:t>
            </w:r>
          </w:p>
        </w:tc>
      </w:tr>
      <w:tr>
        <w:tc>
          <w:tcPr>
            <w:tcW w:type="dxa" w:w="1944"/>
            <w:vAlign w:val="center"/>
            <w:shd w:fill="F7F9FB"/>
          </w:tcPr>
          <w:p>
            <w:r/>
            <w:r>
              <w:rPr>
                <w:rFonts w:ascii="Arial" w:hAnsi="Arial"/>
                <w:b w:val="0"/>
                <w:color w:val="26323F"/>
                <w:sz w:val="14"/>
              </w:rPr>
              <w:t>Factory / Partner Enablement</w:t>
            </w:r>
          </w:p>
        </w:tc>
        <w:tc>
          <w:tcPr>
            <w:tcW w:type="dxa" w:w="3312"/>
            <w:vAlign w:val="center"/>
            <w:shd w:fill="F7F9FB"/>
          </w:tcPr>
          <w:p>
            <w:r/>
            <w:r>
              <w:rPr>
                <w:rFonts w:ascii="Arial" w:hAnsi="Arial"/>
                <w:b w:val="0"/>
                <w:color w:val="26323F"/>
                <w:sz w:val="14"/>
              </w:rPr>
              <w:t>Digitalización de planta, procesos, Asset ID, QA y liberación.</w:t>
            </w:r>
          </w:p>
        </w:tc>
        <w:tc>
          <w:tcPr>
            <w:tcW w:type="dxa" w:w="2232"/>
            <w:vAlign w:val="center"/>
            <w:shd w:fill="F7F9FB"/>
          </w:tcPr>
          <w:p>
            <w:r/>
            <w:r>
              <w:rPr>
                <w:rFonts w:ascii="Arial" w:hAnsi="Arial"/>
                <w:b w:val="0"/>
                <w:color w:val="26323F"/>
                <w:sz w:val="14"/>
              </w:rPr>
              <w:t>Fabricante / licenciatario</w:t>
            </w:r>
          </w:p>
        </w:tc>
        <w:tc>
          <w:tcPr>
            <w:tcW w:type="dxa" w:w="1944"/>
            <w:vAlign w:val="center"/>
            <w:shd w:fill="F7F9FB"/>
          </w:tcPr>
          <w:p>
            <w:r/>
            <w:r>
              <w:rPr>
                <w:rFonts w:ascii="Arial" w:hAnsi="Arial"/>
                <w:b w:val="0"/>
                <w:color w:val="26323F"/>
                <w:sz w:val="14"/>
              </w:rPr>
              <w:t>m² de planta, setup, capacidad activada</w:t>
            </w:r>
          </w:p>
        </w:tc>
      </w:tr>
      <w:tr>
        <w:tc>
          <w:tcPr>
            <w:tcW w:type="dxa" w:w="1944"/>
            <w:vAlign w:val="center"/>
          </w:tcPr>
          <w:p>
            <w:r/>
            <w:r>
              <w:rPr>
                <w:rFonts w:ascii="Arial" w:hAnsi="Arial"/>
                <w:b w:val="0"/>
                <w:color w:val="26323F"/>
                <w:sz w:val="14"/>
              </w:rPr>
              <w:t>Crew / Site Enablement</w:t>
            </w:r>
          </w:p>
        </w:tc>
        <w:tc>
          <w:tcPr>
            <w:tcW w:type="dxa" w:w="3312"/>
            <w:vAlign w:val="center"/>
          </w:tcPr>
          <w:p>
            <w:r/>
            <w:r>
              <w:rPr>
                <w:rFonts w:ascii="Arial" w:hAnsi="Arial"/>
                <w:b w:val="0"/>
                <w:color w:val="26323F"/>
                <w:sz w:val="14"/>
              </w:rPr>
              <w:t>Digitalización de cuadrillas, recepción, montaje y prueba de avance.</w:t>
            </w:r>
          </w:p>
        </w:tc>
        <w:tc>
          <w:tcPr>
            <w:tcW w:type="dxa" w:w="2232"/>
            <w:vAlign w:val="center"/>
          </w:tcPr>
          <w:p>
            <w:r/>
            <w:r>
              <w:rPr>
                <w:rFonts w:ascii="Arial" w:hAnsi="Arial"/>
                <w:b w:val="0"/>
                <w:color w:val="26323F"/>
                <w:sz w:val="14"/>
              </w:rPr>
              <w:t>Montador / integrador</w:t>
            </w:r>
          </w:p>
        </w:tc>
        <w:tc>
          <w:tcPr>
            <w:tcW w:type="dxa" w:w="1944"/>
            <w:vAlign w:val="center"/>
          </w:tcPr>
          <w:p>
            <w:r/>
            <w:r>
              <w:rPr>
                <w:rFonts w:ascii="Arial" w:hAnsi="Arial"/>
                <w:b w:val="0"/>
                <w:color w:val="26323F"/>
                <w:sz w:val="14"/>
              </w:rPr>
              <w:t>cuadrillas, m² instalados, POI</w:t>
            </w:r>
          </w:p>
        </w:tc>
      </w:tr>
      <w:tr>
        <w:tc>
          <w:tcPr>
            <w:tcW w:type="dxa" w:w="1944"/>
            <w:vAlign w:val="center"/>
            <w:shd w:fill="F7F9FB"/>
          </w:tcPr>
          <w:p>
            <w:r/>
            <w:r>
              <w:rPr>
                <w:rFonts w:ascii="Arial" w:hAnsi="Arial"/>
                <w:b w:val="0"/>
                <w:color w:val="26323F"/>
                <w:sz w:val="14"/>
              </w:rPr>
              <w:t>POI Evidence Pack</w:t>
            </w:r>
          </w:p>
        </w:tc>
        <w:tc>
          <w:tcPr>
            <w:tcW w:type="dxa" w:w="3312"/>
            <w:vAlign w:val="center"/>
            <w:shd w:fill="F7F9FB"/>
          </w:tcPr>
          <w:p>
            <w:r/>
            <w:r>
              <w:rPr>
                <w:rFonts w:ascii="Arial" w:hAnsi="Arial"/>
                <w:b w:val="0"/>
                <w:color w:val="26323F"/>
                <w:sz w:val="14"/>
              </w:rPr>
              <w:t>Prueba física de instalación con identidad, responsable, regla y aceptación.</w:t>
            </w:r>
          </w:p>
        </w:tc>
        <w:tc>
          <w:tcPr>
            <w:tcW w:type="dxa" w:w="2232"/>
            <w:vAlign w:val="center"/>
            <w:shd w:fill="F7F9FB"/>
          </w:tcPr>
          <w:p>
            <w:r/>
            <w:r>
              <w:rPr>
                <w:rFonts w:ascii="Arial" w:hAnsi="Arial"/>
                <w:b w:val="0"/>
                <w:color w:val="26323F"/>
                <w:sz w:val="14"/>
              </w:rPr>
              <w:t>Promotor, AAPP, owner, certificador</w:t>
            </w:r>
          </w:p>
        </w:tc>
        <w:tc>
          <w:tcPr>
            <w:tcW w:type="dxa" w:w="1944"/>
            <w:vAlign w:val="center"/>
            <w:shd w:fill="F7F9FB"/>
          </w:tcPr>
          <w:p>
            <w:r/>
            <w:r>
              <w:rPr>
                <w:rFonts w:ascii="Arial" w:hAnsi="Arial"/>
                <w:b w:val="0"/>
                <w:color w:val="26323F"/>
                <w:sz w:val="14"/>
              </w:rPr>
              <w:t>m² verificados, eventos cerrados</w:t>
            </w:r>
          </w:p>
        </w:tc>
      </w:tr>
      <w:tr>
        <w:tc>
          <w:tcPr>
            <w:tcW w:type="dxa" w:w="1944"/>
            <w:vAlign w:val="center"/>
          </w:tcPr>
          <w:p>
            <w:r/>
            <w:r>
              <w:rPr>
                <w:rFonts w:ascii="Arial" w:hAnsi="Arial"/>
                <w:b w:val="0"/>
                <w:color w:val="26323F"/>
                <w:sz w:val="14"/>
              </w:rPr>
              <w:t>DPP / Carpeta Madre</w:t>
            </w:r>
          </w:p>
        </w:tc>
        <w:tc>
          <w:tcPr>
            <w:tcW w:type="dxa" w:w="3312"/>
            <w:vAlign w:val="center"/>
          </w:tcPr>
          <w:p>
            <w:r/>
            <w:r>
              <w:rPr>
                <w:rFonts w:ascii="Arial" w:hAnsi="Arial"/>
                <w:b w:val="0"/>
                <w:color w:val="26323F"/>
                <w:sz w:val="14"/>
              </w:rPr>
              <w:t>Pasaporte vivo con documentos, composición, cambios, garantías y mantenimiento.</w:t>
            </w:r>
          </w:p>
        </w:tc>
        <w:tc>
          <w:tcPr>
            <w:tcW w:type="dxa" w:w="2232"/>
            <w:vAlign w:val="center"/>
          </w:tcPr>
          <w:p>
            <w:r/>
            <w:r>
              <w:rPr>
                <w:rFonts w:ascii="Arial" w:hAnsi="Arial"/>
                <w:b w:val="0"/>
                <w:color w:val="26323F"/>
                <w:sz w:val="14"/>
              </w:rPr>
              <w:t>Owner / sujeto obligado / operador</w:t>
            </w:r>
          </w:p>
        </w:tc>
        <w:tc>
          <w:tcPr>
            <w:tcW w:type="dxa" w:w="1944"/>
            <w:vAlign w:val="center"/>
          </w:tcPr>
          <w:p>
            <w:r/>
            <w:r>
              <w:rPr>
                <w:rFonts w:ascii="Arial" w:hAnsi="Arial"/>
                <w:b w:val="0"/>
                <w:color w:val="26323F"/>
                <w:sz w:val="14"/>
              </w:rPr>
              <w:t>activo entregado, módulos de compliance</w:t>
            </w:r>
          </w:p>
        </w:tc>
      </w:tr>
      <w:tr>
        <w:tc>
          <w:tcPr>
            <w:tcW w:type="dxa" w:w="1944"/>
            <w:vAlign w:val="center"/>
            <w:shd w:fill="F7F9FB"/>
          </w:tcPr>
          <w:p>
            <w:r/>
            <w:r>
              <w:rPr>
                <w:rFonts w:ascii="Arial" w:hAnsi="Arial"/>
                <w:b w:val="0"/>
                <w:color w:val="26323F"/>
                <w:sz w:val="14"/>
              </w:rPr>
              <w:t>Designer + vivienda generativa</w:t>
            </w:r>
          </w:p>
        </w:tc>
        <w:tc>
          <w:tcPr>
            <w:tcW w:type="dxa" w:w="3312"/>
            <w:vAlign w:val="center"/>
            <w:shd w:fill="F7F9FB"/>
          </w:tcPr>
          <w:p>
            <w:r/>
            <w:r>
              <w:rPr>
                <w:rFonts w:ascii="Arial" w:hAnsi="Arial"/>
                <w:b w:val="0"/>
                <w:color w:val="26323F"/>
                <w:sz w:val="14"/>
              </w:rPr>
              <w:t>Diseño, alternativas paramétricas, reglas y generación automatizada vía API.</w:t>
            </w:r>
          </w:p>
        </w:tc>
        <w:tc>
          <w:tcPr>
            <w:tcW w:type="dxa" w:w="2232"/>
            <w:vAlign w:val="center"/>
            <w:shd w:fill="F7F9FB"/>
          </w:tcPr>
          <w:p>
            <w:r/>
            <w:r>
              <w:rPr>
                <w:rFonts w:ascii="Arial" w:hAnsi="Arial"/>
                <w:b w:val="0"/>
                <w:color w:val="26323F"/>
                <w:sz w:val="14"/>
              </w:rPr>
              <w:t>Arquitecto, promotor, partner</w:t>
            </w:r>
          </w:p>
        </w:tc>
        <w:tc>
          <w:tcPr>
            <w:tcW w:type="dxa" w:w="1944"/>
            <w:vAlign w:val="center"/>
            <w:shd w:fill="F7F9FB"/>
          </w:tcPr>
          <w:p>
            <w:r/>
            <w:r>
              <w:rPr>
                <w:rFonts w:ascii="Arial" w:hAnsi="Arial"/>
                <w:b w:val="0"/>
                <w:color w:val="26323F"/>
                <w:sz w:val="14"/>
              </w:rPr>
              <w:t>proyectos, m² diseñados, módulos premium</w:t>
            </w:r>
          </w:p>
        </w:tc>
      </w:tr>
      <w:tr>
        <w:tc>
          <w:tcPr>
            <w:tcW w:type="dxa" w:w="1944"/>
            <w:vAlign w:val="center"/>
          </w:tcPr>
          <w:p>
            <w:r/>
            <w:r>
              <w:rPr>
                <w:rFonts w:ascii="Arial" w:hAnsi="Arial"/>
                <w:b w:val="0"/>
                <w:color w:val="26323F"/>
                <w:sz w:val="14"/>
              </w:rPr>
              <w:t>iPath</w:t>
            </w:r>
          </w:p>
        </w:tc>
        <w:tc>
          <w:tcPr>
            <w:tcW w:type="dxa" w:w="3312"/>
            <w:vAlign w:val="center"/>
          </w:tcPr>
          <w:p>
            <w:r/>
            <w:r>
              <w:rPr>
                <w:rFonts w:ascii="Arial" w:hAnsi="Arial"/>
                <w:b w:val="0"/>
                <w:color w:val="26323F"/>
                <w:sz w:val="14"/>
              </w:rPr>
              <w:t>Infraestructura urbana industrializada con POI, DPP, mantenimiento y SLA.</w:t>
            </w:r>
          </w:p>
        </w:tc>
        <w:tc>
          <w:tcPr>
            <w:tcW w:type="dxa" w:w="2232"/>
            <w:vAlign w:val="center"/>
          </w:tcPr>
          <w:p>
            <w:r/>
            <w:r>
              <w:rPr>
                <w:rFonts w:ascii="Arial" w:hAnsi="Arial"/>
                <w:b w:val="0"/>
                <w:color w:val="26323F"/>
                <w:sz w:val="14"/>
              </w:rPr>
              <w:t>AAPP, concesión, SPV, operador</w:t>
            </w:r>
          </w:p>
        </w:tc>
        <w:tc>
          <w:tcPr>
            <w:tcW w:type="dxa" w:w="1944"/>
            <w:vAlign w:val="center"/>
          </w:tcPr>
          <w:p>
            <w:r/>
            <w:r>
              <w:rPr>
                <w:rFonts w:ascii="Arial" w:hAnsi="Arial"/>
                <w:b w:val="0"/>
                <w:color w:val="26323F"/>
                <w:sz w:val="14"/>
              </w:rPr>
              <w:t>tramos, disponibilidad, mantenimiento, datos</w:t>
            </w:r>
          </w:p>
        </w:tc>
      </w:tr>
      <w:tr>
        <w:tc>
          <w:tcPr>
            <w:tcW w:type="dxa" w:w="1944"/>
            <w:vAlign w:val="center"/>
            <w:shd w:fill="F7F9FB"/>
          </w:tcPr>
          <w:p>
            <w:r/>
            <w:r>
              <w:rPr>
                <w:rFonts w:ascii="Arial" w:hAnsi="Arial"/>
                <w:b w:val="0"/>
                <w:color w:val="26323F"/>
                <w:sz w:val="14"/>
              </w:rPr>
              <w:t>Moolde / circularidad</w:t>
            </w:r>
          </w:p>
        </w:tc>
        <w:tc>
          <w:tcPr>
            <w:tcW w:type="dxa" w:w="3312"/>
            <w:vAlign w:val="center"/>
            <w:shd w:fill="F7F9FB"/>
          </w:tcPr>
          <w:p>
            <w:r/>
            <w:r>
              <w:rPr>
                <w:rFonts w:ascii="Arial" w:hAnsi="Arial"/>
                <w:b w:val="0"/>
                <w:color w:val="26323F"/>
                <w:sz w:val="14"/>
              </w:rPr>
              <w:t>Pilotos y activos de economía circular, materiales y ciclo de vida.</w:t>
            </w:r>
          </w:p>
        </w:tc>
        <w:tc>
          <w:tcPr>
            <w:tcW w:type="dxa" w:w="2232"/>
            <w:vAlign w:val="center"/>
            <w:shd w:fill="F7F9FB"/>
          </w:tcPr>
          <w:p>
            <w:r/>
            <w:r>
              <w:rPr>
                <w:rFonts w:ascii="Arial" w:hAnsi="Arial"/>
                <w:b w:val="0"/>
                <w:color w:val="26323F"/>
                <w:sz w:val="14"/>
              </w:rPr>
              <w:t>Industria circular, marcas, administraciones</w:t>
            </w:r>
          </w:p>
        </w:tc>
        <w:tc>
          <w:tcPr>
            <w:tcW w:type="dxa" w:w="1944"/>
            <w:vAlign w:val="center"/>
            <w:shd w:fill="F7F9FB"/>
          </w:tcPr>
          <w:p>
            <w:r/>
            <w:r>
              <w:rPr>
                <w:rFonts w:ascii="Arial" w:hAnsi="Arial"/>
                <w:b w:val="0"/>
                <w:color w:val="26323F"/>
                <w:sz w:val="14"/>
              </w:rPr>
              <w:t>materiales, pilotos, reporte ESG</w:t>
            </w:r>
          </w:p>
        </w:tc>
      </w:tr>
      <w:tr>
        <w:tc>
          <w:tcPr>
            <w:tcW w:type="dxa" w:w="1944"/>
            <w:vAlign w:val="center"/>
          </w:tcPr>
          <w:p>
            <w:r/>
            <w:r>
              <w:rPr>
                <w:rFonts w:ascii="Arial" w:hAnsi="Arial"/>
                <w:b w:val="0"/>
                <w:color w:val="26323F"/>
                <w:sz w:val="14"/>
              </w:rPr>
              <w:t>Market OS / Data / Finance</w:t>
            </w:r>
          </w:p>
        </w:tc>
        <w:tc>
          <w:tcPr>
            <w:tcW w:type="dxa" w:w="3312"/>
            <w:vAlign w:val="center"/>
          </w:tcPr>
          <w:p>
            <w:r/>
            <w:r>
              <w:rPr>
                <w:rFonts w:ascii="Arial" w:hAnsi="Arial"/>
                <w:b w:val="0"/>
                <w:color w:val="26323F"/>
                <w:sz w:val="14"/>
              </w:rPr>
              <w:t>Canal, marketplace, APIs, riesgo, datos y servicios sobre stock vivo.</w:t>
            </w:r>
          </w:p>
        </w:tc>
        <w:tc>
          <w:tcPr>
            <w:tcW w:type="dxa" w:w="2232"/>
            <w:vAlign w:val="center"/>
          </w:tcPr>
          <w:p>
            <w:r/>
            <w:r>
              <w:rPr>
                <w:rFonts w:ascii="Arial" w:hAnsi="Arial"/>
                <w:b w:val="0"/>
                <w:color w:val="26323F"/>
                <w:sz w:val="14"/>
              </w:rPr>
              <w:t>Partners, bancos, aseguradoras, owners</w:t>
            </w:r>
          </w:p>
        </w:tc>
        <w:tc>
          <w:tcPr>
            <w:tcW w:type="dxa" w:w="1944"/>
            <w:vAlign w:val="center"/>
          </w:tcPr>
          <w:p>
            <w:r/>
            <w:r>
              <w:rPr>
                <w:rFonts w:ascii="Arial" w:hAnsi="Arial"/>
                <w:b w:val="0"/>
                <w:color w:val="26323F"/>
                <w:sz w:val="14"/>
              </w:rPr>
              <w:t>stock vivo, contratos enterprise</w:t>
            </w:r>
          </w:p>
        </w:tc>
      </w:tr>
    </w:tbl>
    <w:p/>
    <w:p>
      <w:pPr>
        <w:pStyle w:val="Heading1"/>
      </w:pPr>
      <w:r>
        <w:rPr>
          <w:rFonts w:ascii="Arial" w:hAnsi="Arial"/>
          <w:color w:val="0B1F33"/>
        </w:rPr>
        <w:t>7. Modelo de negocio CUEVA Total</w:t>
      </w:r>
    </w:p>
    <w:p>
      <w:pPr>
        <w:spacing w:line="271" w:lineRule="auto" w:after="120"/>
      </w:pPr>
      <w:r>
        <w:rPr>
          <w:rFonts w:ascii="Arial" w:hAnsi="Arial"/>
          <w:color w:val="26323F"/>
          <w:sz w:val="20"/>
        </w:rPr>
        <w:t>CUEVA monetiza cinco momentos acumulativos: digitalización inicial, uso de red por m², activación de activo/proyecto, evidencia/documentación y servicios recurrentes sobre stock vivo. Cada cobro debe tener pagador, alcance, trigger, evidencia y política de reconocimiento propios.</w:t>
      </w:r>
    </w:p>
    <w:tbl>
      <w:tblPr>
        <w:tblStyle w:val="TableGrid"/>
        <w:tblW w:type="auto" w:w="0"/>
        <w:tblLook w:firstColumn="1" w:firstRow="1" w:lastColumn="0" w:lastRow="0" w:noHBand="0" w:noVBand="1" w:val="04A0"/>
      </w:tblPr>
      <w:tblGrid>
        <w:gridCol w:w="2592"/>
        <w:gridCol w:w="2592"/>
        <w:gridCol w:w="2592"/>
        <w:gridCol w:w="2592"/>
      </w:tblGrid>
      <w:tr>
        <w:tc>
          <w:tcPr>
            <w:tcW w:type="dxa" w:w="2232"/>
            <w:vAlign w:val="center"/>
            <w:shd w:fill="0B1F33"/>
          </w:tcPr>
          <w:p>
            <w:r/>
            <w:r>
              <w:rPr>
                <w:rFonts w:ascii="Arial" w:hAnsi="Arial"/>
                <w:b/>
                <w:color w:val="FFFFFF"/>
                <w:sz w:val="15"/>
              </w:rPr>
              <w:t>Línea de ingreso</w:t>
            </w:r>
          </w:p>
        </w:tc>
        <w:tc>
          <w:tcPr>
            <w:tcW w:type="dxa" w:w="2232"/>
            <w:vAlign w:val="center"/>
            <w:shd w:fill="0B1F33"/>
          </w:tcPr>
          <w:p>
            <w:r/>
            <w:r>
              <w:rPr>
                <w:rFonts w:ascii="Arial" w:hAnsi="Arial"/>
                <w:b/>
                <w:color w:val="FFFFFF"/>
                <w:sz w:val="15"/>
              </w:rPr>
              <w:t>Pagador</w:t>
            </w:r>
          </w:p>
        </w:tc>
        <w:tc>
          <w:tcPr>
            <w:tcW w:type="dxa" w:w="2880"/>
            <w:vAlign w:val="center"/>
            <w:shd w:fill="0B1F33"/>
          </w:tcPr>
          <w:p>
            <w:r/>
            <w:r>
              <w:rPr>
                <w:rFonts w:ascii="Arial" w:hAnsi="Arial"/>
                <w:b/>
                <w:color w:val="FFFFFF"/>
                <w:sz w:val="15"/>
              </w:rPr>
              <w:t>Trigger</w:t>
            </w:r>
          </w:p>
        </w:tc>
        <w:tc>
          <w:tcPr>
            <w:tcW w:type="dxa" w:w="2088"/>
            <w:vAlign w:val="center"/>
            <w:shd w:fill="0B1F33"/>
          </w:tcPr>
          <w:p>
            <w:r/>
            <w:r>
              <w:rPr>
                <w:rFonts w:ascii="Arial" w:hAnsi="Arial"/>
                <w:b/>
                <w:color w:val="FFFFFF"/>
                <w:sz w:val="15"/>
              </w:rPr>
              <w:t>Calidad</w:t>
            </w:r>
          </w:p>
        </w:tc>
      </w:tr>
      <w:tr>
        <w:tc>
          <w:tcPr>
            <w:tcW w:type="dxa" w:w="2232"/>
            <w:vAlign w:val="center"/>
            <w:shd w:fill="F7F9FB"/>
          </w:tcPr>
          <w:p>
            <w:r/>
            <w:r>
              <w:rPr>
                <w:rFonts w:ascii="Arial" w:hAnsi="Arial"/>
                <w:b w:val="0"/>
                <w:color w:val="26323F"/>
                <w:sz w:val="15"/>
              </w:rPr>
              <w:t>Licencia partner / connector</w:t>
            </w:r>
          </w:p>
        </w:tc>
        <w:tc>
          <w:tcPr>
            <w:tcW w:type="dxa" w:w="2232"/>
            <w:vAlign w:val="center"/>
            <w:shd w:fill="F7F9FB"/>
          </w:tcPr>
          <w:p>
            <w:r/>
            <w:r>
              <w:rPr>
                <w:rFonts w:ascii="Arial" w:hAnsi="Arial"/>
                <w:b w:val="0"/>
                <w:color w:val="26323F"/>
                <w:sz w:val="15"/>
              </w:rPr>
              <w:t>Fabricante, montador, operador</w:t>
            </w:r>
          </w:p>
        </w:tc>
        <w:tc>
          <w:tcPr>
            <w:tcW w:type="dxa" w:w="2880"/>
            <w:vAlign w:val="center"/>
            <w:shd w:fill="F7F9FB"/>
          </w:tcPr>
          <w:p>
            <w:r/>
            <w:r>
              <w:rPr>
                <w:rFonts w:ascii="Arial" w:hAnsi="Arial"/>
                <w:b w:val="0"/>
                <w:color w:val="26323F"/>
                <w:sz w:val="15"/>
              </w:rPr>
              <w:t>Acceso anual, certificación, capacidad</w:t>
            </w:r>
          </w:p>
        </w:tc>
        <w:tc>
          <w:tcPr>
            <w:tcW w:type="dxa" w:w="2088"/>
            <w:vAlign w:val="center"/>
            <w:shd w:fill="F7F9FB"/>
          </w:tcPr>
          <w:p>
            <w:r/>
            <w:r>
              <w:rPr>
                <w:rFonts w:ascii="Arial" w:hAnsi="Arial"/>
                <w:b w:val="0"/>
                <w:color w:val="26323F"/>
                <w:sz w:val="15"/>
              </w:rPr>
              <w:t>Recurrente / mínimo anual</w:t>
            </w:r>
          </w:p>
        </w:tc>
      </w:tr>
      <w:tr>
        <w:tc>
          <w:tcPr>
            <w:tcW w:type="dxa" w:w="2232"/>
            <w:vAlign w:val="center"/>
          </w:tcPr>
          <w:p>
            <w:r/>
            <w:r>
              <w:rPr>
                <w:rFonts w:ascii="Arial" w:hAnsi="Arial"/>
                <w:b w:val="0"/>
                <w:color w:val="26323F"/>
                <w:sz w:val="15"/>
              </w:rPr>
              <w:t>Implementation P0-P5</w:t>
            </w:r>
          </w:p>
        </w:tc>
        <w:tc>
          <w:tcPr>
            <w:tcW w:type="dxa" w:w="2232"/>
            <w:vAlign w:val="center"/>
          </w:tcPr>
          <w:p>
            <w:r/>
            <w:r>
              <w:rPr>
                <w:rFonts w:ascii="Arial" w:hAnsi="Arial"/>
                <w:b w:val="0"/>
                <w:color w:val="26323F"/>
                <w:sz w:val="15"/>
              </w:rPr>
              <w:t>Partner, promotor, AAPP</w:t>
            </w:r>
          </w:p>
        </w:tc>
        <w:tc>
          <w:tcPr>
            <w:tcW w:type="dxa" w:w="2880"/>
            <w:vAlign w:val="center"/>
          </w:tcPr>
          <w:p>
            <w:r/>
            <w:r>
              <w:rPr>
                <w:rFonts w:ascii="Arial" w:hAnsi="Arial"/>
                <w:b w:val="0"/>
                <w:color w:val="26323F"/>
                <w:sz w:val="15"/>
              </w:rPr>
              <w:t>Contrato de implantación</w:t>
            </w:r>
          </w:p>
        </w:tc>
        <w:tc>
          <w:tcPr>
            <w:tcW w:type="dxa" w:w="2088"/>
            <w:vAlign w:val="center"/>
          </w:tcPr>
          <w:p>
            <w:r/>
            <w:r>
              <w:rPr>
                <w:rFonts w:ascii="Arial" w:hAnsi="Arial"/>
                <w:b w:val="0"/>
                <w:color w:val="26323F"/>
                <w:sz w:val="15"/>
              </w:rPr>
              <w:t>Servicios con margen</w:t>
            </w:r>
          </w:p>
        </w:tc>
      </w:tr>
      <w:tr>
        <w:tc>
          <w:tcPr>
            <w:tcW w:type="dxa" w:w="2232"/>
            <w:vAlign w:val="center"/>
            <w:shd w:fill="F7F9FB"/>
          </w:tcPr>
          <w:p>
            <w:r/>
            <w:r>
              <w:rPr>
                <w:rFonts w:ascii="Arial" w:hAnsi="Arial"/>
                <w:b w:val="0"/>
                <w:color w:val="26323F"/>
                <w:sz w:val="15"/>
              </w:rPr>
              <w:t>Physical Enablement</w:t>
            </w:r>
          </w:p>
        </w:tc>
        <w:tc>
          <w:tcPr>
            <w:tcW w:type="dxa" w:w="2232"/>
            <w:vAlign w:val="center"/>
            <w:shd w:fill="F7F9FB"/>
          </w:tcPr>
          <w:p>
            <w:r/>
            <w:r>
              <w:rPr>
                <w:rFonts w:ascii="Arial" w:hAnsi="Arial"/>
                <w:b w:val="0"/>
                <w:color w:val="26323F"/>
                <w:sz w:val="15"/>
              </w:rPr>
              <w:t>Presupuesto de proyecto / integrador</w:t>
            </w:r>
          </w:p>
        </w:tc>
        <w:tc>
          <w:tcPr>
            <w:tcW w:type="dxa" w:w="2880"/>
            <w:vAlign w:val="center"/>
            <w:shd w:fill="F7F9FB"/>
          </w:tcPr>
          <w:p>
            <w:r/>
            <w:r>
              <w:rPr>
                <w:rFonts w:ascii="Arial" w:hAnsi="Arial"/>
                <w:b w:val="0"/>
                <w:color w:val="26323F"/>
                <w:sz w:val="15"/>
              </w:rPr>
              <w:t>m² emitido con alta técnica</w:t>
            </w:r>
          </w:p>
        </w:tc>
        <w:tc>
          <w:tcPr>
            <w:tcW w:type="dxa" w:w="2088"/>
            <w:vAlign w:val="center"/>
            <w:shd w:fill="F7F9FB"/>
          </w:tcPr>
          <w:p>
            <w:r/>
            <w:r>
              <w:rPr>
                <w:rFonts w:ascii="Arial" w:hAnsi="Arial"/>
                <w:b w:val="0"/>
                <w:color w:val="26323F"/>
                <w:sz w:val="15"/>
              </w:rPr>
              <w:t>One-shot por m²</w:t>
            </w:r>
          </w:p>
        </w:tc>
      </w:tr>
      <w:tr>
        <w:tc>
          <w:tcPr>
            <w:tcW w:type="dxa" w:w="2232"/>
            <w:vAlign w:val="center"/>
          </w:tcPr>
          <w:p>
            <w:r/>
            <w:r>
              <w:rPr>
                <w:rFonts w:ascii="Arial" w:hAnsi="Arial"/>
                <w:b w:val="0"/>
                <w:color w:val="26323F"/>
                <w:sz w:val="15"/>
              </w:rPr>
              <w:t>Asset Activation</w:t>
            </w:r>
          </w:p>
        </w:tc>
        <w:tc>
          <w:tcPr>
            <w:tcW w:type="dxa" w:w="2232"/>
            <w:vAlign w:val="center"/>
          </w:tcPr>
          <w:p>
            <w:r/>
            <w:r>
              <w:rPr>
                <w:rFonts w:ascii="Arial" w:hAnsi="Arial"/>
                <w:b w:val="0"/>
                <w:color w:val="26323F"/>
                <w:sz w:val="15"/>
              </w:rPr>
              <w:t>Cliente / proyecto</w:t>
            </w:r>
          </w:p>
        </w:tc>
        <w:tc>
          <w:tcPr>
            <w:tcW w:type="dxa" w:w="2880"/>
            <w:vAlign w:val="center"/>
          </w:tcPr>
          <w:p>
            <w:r/>
            <w:r>
              <w:rPr>
                <w:rFonts w:ascii="Arial" w:hAnsi="Arial"/>
                <w:b w:val="0"/>
                <w:color w:val="26323F"/>
                <w:sz w:val="15"/>
              </w:rPr>
              <w:t>Proyecto entra en ejecución</w:t>
            </w:r>
          </w:p>
        </w:tc>
        <w:tc>
          <w:tcPr>
            <w:tcW w:type="dxa" w:w="2088"/>
            <w:vAlign w:val="center"/>
          </w:tcPr>
          <w:p>
            <w:r/>
            <w:r>
              <w:rPr>
                <w:rFonts w:ascii="Arial" w:hAnsi="Arial"/>
                <w:b w:val="0"/>
                <w:color w:val="26323F"/>
                <w:sz w:val="15"/>
              </w:rPr>
              <w:t>One-shot por m²</w:t>
            </w:r>
          </w:p>
        </w:tc>
      </w:tr>
      <w:tr>
        <w:tc>
          <w:tcPr>
            <w:tcW w:type="dxa" w:w="2232"/>
            <w:vAlign w:val="center"/>
            <w:shd w:fill="F7F9FB"/>
          </w:tcPr>
          <w:p>
            <w:r/>
            <w:r>
              <w:rPr>
                <w:rFonts w:ascii="Arial" w:hAnsi="Arial"/>
                <w:b w:val="0"/>
                <w:color w:val="26323F"/>
                <w:sz w:val="15"/>
              </w:rPr>
              <w:t>POI Evidence Pack</w:t>
            </w:r>
          </w:p>
        </w:tc>
        <w:tc>
          <w:tcPr>
            <w:tcW w:type="dxa" w:w="2232"/>
            <w:vAlign w:val="center"/>
            <w:shd w:fill="F7F9FB"/>
          </w:tcPr>
          <w:p>
            <w:r/>
            <w:r>
              <w:rPr>
                <w:rFonts w:ascii="Arial" w:hAnsi="Arial"/>
                <w:b w:val="0"/>
                <w:color w:val="26323F"/>
                <w:sz w:val="15"/>
              </w:rPr>
              <w:t>Cliente, promotor, AAPP</w:t>
            </w:r>
          </w:p>
        </w:tc>
        <w:tc>
          <w:tcPr>
            <w:tcW w:type="dxa" w:w="2880"/>
            <w:vAlign w:val="center"/>
            <w:shd w:fill="F7F9FB"/>
          </w:tcPr>
          <w:p>
            <w:r/>
            <w:r>
              <w:rPr>
                <w:rFonts w:ascii="Arial" w:hAnsi="Arial"/>
                <w:b w:val="0"/>
                <w:color w:val="26323F"/>
                <w:sz w:val="15"/>
              </w:rPr>
              <w:t>Instalación verificada</w:t>
            </w:r>
          </w:p>
        </w:tc>
        <w:tc>
          <w:tcPr>
            <w:tcW w:type="dxa" w:w="2088"/>
            <w:vAlign w:val="center"/>
            <w:shd w:fill="F7F9FB"/>
          </w:tcPr>
          <w:p>
            <w:r/>
            <w:r>
              <w:rPr>
                <w:rFonts w:ascii="Arial" w:hAnsi="Arial"/>
                <w:b w:val="0"/>
                <w:color w:val="26323F"/>
                <w:sz w:val="15"/>
              </w:rPr>
              <w:t>One-shot / evento</w:t>
            </w:r>
          </w:p>
        </w:tc>
      </w:tr>
      <w:tr>
        <w:tc>
          <w:tcPr>
            <w:tcW w:type="dxa" w:w="2232"/>
            <w:vAlign w:val="center"/>
          </w:tcPr>
          <w:p>
            <w:r/>
            <w:r>
              <w:rPr>
                <w:rFonts w:ascii="Arial" w:hAnsi="Arial"/>
                <w:b w:val="0"/>
                <w:color w:val="26323F"/>
                <w:sz w:val="15"/>
              </w:rPr>
              <w:t>DPP / Carpeta Madre</w:t>
            </w:r>
          </w:p>
        </w:tc>
        <w:tc>
          <w:tcPr>
            <w:tcW w:type="dxa" w:w="2232"/>
            <w:vAlign w:val="center"/>
          </w:tcPr>
          <w:p>
            <w:r/>
            <w:r>
              <w:rPr>
                <w:rFonts w:ascii="Arial" w:hAnsi="Arial"/>
                <w:b w:val="0"/>
                <w:color w:val="26323F"/>
                <w:sz w:val="15"/>
              </w:rPr>
              <w:t>Propietario / sujeto regulado</w:t>
            </w:r>
          </w:p>
        </w:tc>
        <w:tc>
          <w:tcPr>
            <w:tcW w:type="dxa" w:w="2880"/>
            <w:vAlign w:val="center"/>
          </w:tcPr>
          <w:p>
            <w:r/>
            <w:r>
              <w:rPr>
                <w:rFonts w:ascii="Arial" w:hAnsi="Arial"/>
                <w:b w:val="0"/>
                <w:color w:val="26323F"/>
                <w:sz w:val="15"/>
              </w:rPr>
              <w:t>Entrega documental viva</w:t>
            </w:r>
          </w:p>
        </w:tc>
        <w:tc>
          <w:tcPr>
            <w:tcW w:type="dxa" w:w="2088"/>
            <w:vAlign w:val="center"/>
          </w:tcPr>
          <w:p>
            <w:r/>
            <w:r>
              <w:rPr>
                <w:rFonts w:ascii="Arial" w:hAnsi="Arial"/>
                <w:b w:val="0"/>
                <w:color w:val="26323F"/>
                <w:sz w:val="15"/>
              </w:rPr>
              <w:t>Setup + módulos</w:t>
            </w:r>
          </w:p>
        </w:tc>
      </w:tr>
      <w:tr>
        <w:tc>
          <w:tcPr>
            <w:tcW w:type="dxa" w:w="2232"/>
            <w:vAlign w:val="center"/>
            <w:shd w:fill="F7F9FB"/>
          </w:tcPr>
          <w:p>
            <w:r/>
            <w:r>
              <w:rPr>
                <w:rFonts w:ascii="Arial" w:hAnsi="Arial"/>
                <w:b w:val="0"/>
                <w:color w:val="26323F"/>
                <w:sz w:val="15"/>
              </w:rPr>
              <w:t>Network Maintenance</w:t>
            </w:r>
          </w:p>
        </w:tc>
        <w:tc>
          <w:tcPr>
            <w:tcW w:type="dxa" w:w="2232"/>
            <w:vAlign w:val="center"/>
            <w:shd w:fill="F7F9FB"/>
          </w:tcPr>
          <w:p>
            <w:r/>
            <w:r>
              <w:rPr>
                <w:rFonts w:ascii="Arial" w:hAnsi="Arial"/>
                <w:b w:val="0"/>
                <w:color w:val="26323F"/>
                <w:sz w:val="15"/>
              </w:rPr>
              <w:t>Owner / operador</w:t>
            </w:r>
          </w:p>
        </w:tc>
        <w:tc>
          <w:tcPr>
            <w:tcW w:type="dxa" w:w="2880"/>
            <w:vAlign w:val="center"/>
            <w:shd w:fill="F7F9FB"/>
          </w:tcPr>
          <w:p>
            <w:r/>
            <w:r>
              <w:rPr>
                <w:rFonts w:ascii="Arial" w:hAnsi="Arial"/>
                <w:b w:val="0"/>
                <w:color w:val="26323F"/>
                <w:sz w:val="15"/>
              </w:rPr>
              <w:t>Stock vivo activo</w:t>
            </w:r>
          </w:p>
        </w:tc>
        <w:tc>
          <w:tcPr>
            <w:tcW w:type="dxa" w:w="2088"/>
            <w:vAlign w:val="center"/>
            <w:shd w:fill="F7F9FB"/>
          </w:tcPr>
          <w:p>
            <w:r/>
            <w:r>
              <w:rPr>
                <w:rFonts w:ascii="Arial" w:hAnsi="Arial"/>
                <w:b w:val="0"/>
                <w:color w:val="26323F"/>
                <w:sz w:val="15"/>
              </w:rPr>
              <w:t>Recurrente sobre stock</w:t>
            </w:r>
          </w:p>
        </w:tc>
      </w:tr>
      <w:tr>
        <w:tc>
          <w:tcPr>
            <w:tcW w:type="dxa" w:w="2232"/>
            <w:vAlign w:val="center"/>
          </w:tcPr>
          <w:p>
            <w:r/>
            <w:r>
              <w:rPr>
                <w:rFonts w:ascii="Arial" w:hAnsi="Arial"/>
                <w:b w:val="0"/>
                <w:color w:val="26323F"/>
                <w:sz w:val="15"/>
              </w:rPr>
              <w:t>Data Layers / API</w:t>
            </w:r>
          </w:p>
        </w:tc>
        <w:tc>
          <w:tcPr>
            <w:tcW w:type="dxa" w:w="2232"/>
            <w:vAlign w:val="center"/>
          </w:tcPr>
          <w:p>
            <w:r/>
            <w:r>
              <w:rPr>
                <w:rFonts w:ascii="Arial" w:hAnsi="Arial"/>
                <w:b w:val="0"/>
                <w:color w:val="26323F"/>
                <w:sz w:val="15"/>
              </w:rPr>
              <w:t>Banco, seguro, certificadora, owner</w:t>
            </w:r>
          </w:p>
        </w:tc>
        <w:tc>
          <w:tcPr>
            <w:tcW w:type="dxa" w:w="2880"/>
            <w:vAlign w:val="center"/>
          </w:tcPr>
          <w:p>
            <w:r/>
            <w:r>
              <w:rPr>
                <w:rFonts w:ascii="Arial" w:hAnsi="Arial"/>
                <w:b w:val="0"/>
                <w:color w:val="26323F"/>
                <w:sz w:val="15"/>
              </w:rPr>
              <w:t>Módulos de datos</w:t>
            </w:r>
          </w:p>
        </w:tc>
        <w:tc>
          <w:tcPr>
            <w:tcW w:type="dxa" w:w="2088"/>
            <w:vAlign w:val="center"/>
          </w:tcPr>
          <w:p>
            <w:r/>
            <w:r>
              <w:rPr>
                <w:rFonts w:ascii="Arial" w:hAnsi="Arial"/>
                <w:b w:val="0"/>
                <w:color w:val="26323F"/>
                <w:sz w:val="15"/>
              </w:rPr>
              <w:t>Recurrente / enterprise</w:t>
            </w:r>
          </w:p>
        </w:tc>
      </w:tr>
    </w:tbl>
    <w:p/>
    <w:p>
      <w:pPr>
        <w:pStyle w:val="Heading2"/>
      </w:pPr>
      <w:r>
        <w:rPr>
          <w:rFonts w:ascii="Arial" w:hAnsi="Arial"/>
          <w:color w:val="0B1F33"/>
        </w:rPr>
        <w:t>7.1. Pricing y unit economics de partner</w:t>
      </w:r>
    </w:p>
    <w:tbl>
      <w:tblPr>
        <w:tblStyle w:val="TableGrid"/>
        <w:tblW w:type="auto" w:w="0"/>
        <w:tblLook w:firstColumn="1" w:firstRow="1" w:lastColumn="0" w:lastRow="0" w:noHBand="0" w:noVBand="1" w:val="04A0"/>
      </w:tblPr>
      <w:tblGrid>
        <w:gridCol w:w="2592"/>
        <w:gridCol w:w="2592"/>
        <w:gridCol w:w="2592"/>
        <w:gridCol w:w="2592"/>
      </w:tblGrid>
      <w:tr>
        <w:tc>
          <w:tcPr>
            <w:tcW w:type="dxa" w:w="2088"/>
            <w:vAlign w:val="center"/>
            <w:shd w:fill="0B1F33"/>
          </w:tcPr>
          <w:p>
            <w:r/>
            <w:r>
              <w:rPr>
                <w:rFonts w:ascii="Arial" w:hAnsi="Arial"/>
                <w:b/>
                <w:color w:val="FFFFFF"/>
                <w:sz w:val="15"/>
              </w:rPr>
              <w:t>Tarifa</w:t>
            </w:r>
          </w:p>
        </w:tc>
        <w:tc>
          <w:tcPr>
            <w:tcW w:type="dxa" w:w="2952"/>
            <w:vAlign w:val="center"/>
            <w:shd w:fill="0B1F33"/>
          </w:tcPr>
          <w:p>
            <w:r/>
            <w:r>
              <w:rPr>
                <w:rFonts w:ascii="Arial" w:hAnsi="Arial"/>
                <w:b/>
                <w:color w:val="FFFFFF"/>
                <w:sz w:val="15"/>
              </w:rPr>
              <w:t>Alcance</w:t>
            </w:r>
          </w:p>
        </w:tc>
        <w:tc>
          <w:tcPr>
            <w:tcW w:type="dxa" w:w="1512"/>
            <w:vAlign w:val="center"/>
            <w:shd w:fill="0B1F33"/>
          </w:tcPr>
          <w:p>
            <w:r/>
            <w:r>
              <w:rPr>
                <w:rFonts w:ascii="Arial" w:hAnsi="Arial"/>
                <w:b/>
                <w:color w:val="FFFFFF"/>
                <w:sz w:val="15"/>
              </w:rPr>
              <w:t>Precio</w:t>
            </w:r>
          </w:p>
        </w:tc>
        <w:tc>
          <w:tcPr>
            <w:tcW w:type="dxa" w:w="3168"/>
            <w:vAlign w:val="center"/>
            <w:shd w:fill="0B1F33"/>
          </w:tcPr>
          <w:p>
            <w:r/>
            <w:r>
              <w:rPr>
                <w:rFonts w:ascii="Arial" w:hAnsi="Arial"/>
                <w:b/>
                <w:color w:val="FFFFFF"/>
                <w:sz w:val="15"/>
              </w:rPr>
              <w:t>Regla comercial</w:t>
            </w:r>
          </w:p>
        </w:tc>
      </w:tr>
      <w:tr>
        <w:tc>
          <w:tcPr>
            <w:tcW w:type="dxa" w:w="2088"/>
            <w:vAlign w:val="center"/>
            <w:shd w:fill="F7F9FB"/>
          </w:tcPr>
          <w:p>
            <w:r/>
            <w:r>
              <w:rPr>
                <w:rFonts w:ascii="Arial" w:hAnsi="Arial"/>
                <w:b w:val="0"/>
                <w:color w:val="26323F"/>
                <w:sz w:val="15"/>
              </w:rPr>
              <w:t>Factory Small</w:t>
            </w:r>
          </w:p>
        </w:tc>
        <w:tc>
          <w:tcPr>
            <w:tcW w:type="dxa" w:w="2952"/>
            <w:vAlign w:val="center"/>
            <w:shd w:fill="F7F9FB"/>
          </w:tcPr>
          <w:p>
            <w:r/>
            <w:r>
              <w:rPr>
                <w:rFonts w:ascii="Arial" w:hAnsi="Arial"/>
                <w:b w:val="0"/>
                <w:color w:val="26323F"/>
                <w:sz w:val="15"/>
              </w:rPr>
              <w:t>Hasta 5.000 m²</w:t>
            </w:r>
          </w:p>
        </w:tc>
        <w:tc>
          <w:tcPr>
            <w:tcW w:type="dxa" w:w="1512"/>
            <w:vAlign w:val="center"/>
            <w:shd w:fill="F7F9FB"/>
          </w:tcPr>
          <w:p>
            <w:r/>
            <w:r>
              <w:rPr>
                <w:rFonts w:ascii="Arial" w:hAnsi="Arial"/>
                <w:b w:val="0"/>
                <w:color w:val="26323F"/>
                <w:sz w:val="15"/>
              </w:rPr>
              <w:t>50.000 €</w:t>
            </w:r>
          </w:p>
        </w:tc>
        <w:tc>
          <w:tcPr>
            <w:tcW w:type="dxa" w:w="3168"/>
            <w:vAlign w:val="center"/>
            <w:shd w:fill="F7F9FB"/>
          </w:tcPr>
          <w:p>
            <w:r/>
            <w:r>
              <w:rPr>
                <w:rFonts w:ascii="Arial" w:hAnsi="Arial"/>
                <w:b w:val="0"/>
                <w:color w:val="26323F"/>
                <w:sz w:val="15"/>
              </w:rPr>
              <w:t>Paquete cerrado</w:t>
            </w:r>
          </w:p>
        </w:tc>
      </w:tr>
      <w:tr>
        <w:tc>
          <w:tcPr>
            <w:tcW w:type="dxa" w:w="2088"/>
            <w:vAlign w:val="center"/>
          </w:tcPr>
          <w:p>
            <w:r/>
            <w:r>
              <w:rPr>
                <w:rFonts w:ascii="Arial" w:hAnsi="Arial"/>
                <w:b w:val="0"/>
                <w:color w:val="26323F"/>
                <w:sz w:val="15"/>
              </w:rPr>
              <w:t>Factory Growth</w:t>
            </w:r>
          </w:p>
        </w:tc>
        <w:tc>
          <w:tcPr>
            <w:tcW w:type="dxa" w:w="2952"/>
            <w:vAlign w:val="center"/>
          </w:tcPr>
          <w:p>
            <w:r/>
            <w:r>
              <w:rPr>
                <w:rFonts w:ascii="Arial" w:hAnsi="Arial"/>
                <w:b w:val="0"/>
                <w:color w:val="26323F"/>
                <w:sz w:val="15"/>
              </w:rPr>
              <w:t>&gt;5.000 y &lt;20.000 m²</w:t>
            </w:r>
          </w:p>
        </w:tc>
        <w:tc>
          <w:tcPr>
            <w:tcW w:type="dxa" w:w="1512"/>
            <w:vAlign w:val="center"/>
          </w:tcPr>
          <w:p>
            <w:r/>
            <w:r>
              <w:rPr>
                <w:rFonts w:ascii="Arial" w:hAnsi="Arial"/>
                <w:b w:val="0"/>
                <w:color w:val="26323F"/>
                <w:sz w:val="15"/>
              </w:rPr>
              <w:t>120.000 €</w:t>
            </w:r>
          </w:p>
        </w:tc>
        <w:tc>
          <w:tcPr>
            <w:tcW w:type="dxa" w:w="3168"/>
            <w:vAlign w:val="center"/>
          </w:tcPr>
          <w:p>
            <w:r/>
            <w:r>
              <w:rPr>
                <w:rFonts w:ascii="Arial" w:hAnsi="Arial"/>
                <w:b w:val="0"/>
                <w:color w:val="26323F"/>
                <w:sz w:val="15"/>
              </w:rPr>
              <w:t>Paquete cerrado</w:t>
            </w:r>
          </w:p>
        </w:tc>
      </w:tr>
      <w:tr>
        <w:tc>
          <w:tcPr>
            <w:tcW w:type="dxa" w:w="2088"/>
            <w:vAlign w:val="center"/>
            <w:shd w:fill="F7F9FB"/>
          </w:tcPr>
          <w:p>
            <w:r/>
            <w:r>
              <w:rPr>
                <w:rFonts w:ascii="Arial" w:hAnsi="Arial"/>
                <w:b w:val="0"/>
                <w:color w:val="26323F"/>
                <w:sz w:val="15"/>
              </w:rPr>
              <w:t>Factory Scale</w:t>
            </w:r>
          </w:p>
        </w:tc>
        <w:tc>
          <w:tcPr>
            <w:tcW w:type="dxa" w:w="2952"/>
            <w:vAlign w:val="center"/>
            <w:shd w:fill="F7F9FB"/>
          </w:tcPr>
          <w:p>
            <w:r/>
            <w:r>
              <w:rPr>
                <w:rFonts w:ascii="Arial" w:hAnsi="Arial"/>
                <w:b w:val="0"/>
                <w:color w:val="26323F"/>
                <w:sz w:val="15"/>
              </w:rPr>
              <w:t>20.000 y &lt;50.000 m²</w:t>
            </w:r>
          </w:p>
        </w:tc>
        <w:tc>
          <w:tcPr>
            <w:tcW w:type="dxa" w:w="1512"/>
            <w:vAlign w:val="center"/>
            <w:shd w:fill="F7F9FB"/>
          </w:tcPr>
          <w:p>
            <w:r/>
            <w:r>
              <w:rPr>
                <w:rFonts w:ascii="Arial" w:hAnsi="Arial"/>
                <w:b w:val="0"/>
                <w:color w:val="26323F"/>
                <w:sz w:val="15"/>
              </w:rPr>
              <w:t>250.000 €</w:t>
            </w:r>
          </w:p>
        </w:tc>
        <w:tc>
          <w:tcPr>
            <w:tcW w:type="dxa" w:w="3168"/>
            <w:vAlign w:val="center"/>
            <w:shd w:fill="F7F9FB"/>
          </w:tcPr>
          <w:p>
            <w:r/>
            <w:r>
              <w:rPr>
                <w:rFonts w:ascii="Arial" w:hAnsi="Arial"/>
                <w:b w:val="0"/>
                <w:color w:val="26323F"/>
                <w:sz w:val="15"/>
              </w:rPr>
              <w:t>Paquete cerrado</w:t>
            </w:r>
          </w:p>
        </w:tc>
      </w:tr>
      <w:tr>
        <w:tc>
          <w:tcPr>
            <w:tcW w:type="dxa" w:w="2088"/>
            <w:vAlign w:val="center"/>
          </w:tcPr>
          <w:p>
            <w:r/>
            <w:r>
              <w:rPr>
                <w:rFonts w:ascii="Arial" w:hAnsi="Arial"/>
                <w:b w:val="0"/>
                <w:color w:val="26323F"/>
                <w:sz w:val="15"/>
              </w:rPr>
              <w:t>Factory Enterprise</w:t>
            </w:r>
          </w:p>
        </w:tc>
        <w:tc>
          <w:tcPr>
            <w:tcW w:type="dxa" w:w="2952"/>
            <w:vAlign w:val="center"/>
          </w:tcPr>
          <w:p>
            <w:r/>
            <w:r>
              <w:rPr>
                <w:rFonts w:ascii="Arial" w:hAnsi="Arial"/>
                <w:b w:val="0"/>
                <w:color w:val="26323F"/>
                <w:sz w:val="15"/>
              </w:rPr>
              <w:t>Desde 50.000 m²</w:t>
            </w:r>
          </w:p>
        </w:tc>
        <w:tc>
          <w:tcPr>
            <w:tcW w:type="dxa" w:w="1512"/>
            <w:vAlign w:val="center"/>
          </w:tcPr>
          <w:p>
            <w:r/>
            <w:r>
              <w:rPr>
                <w:rFonts w:ascii="Arial" w:hAnsi="Arial"/>
                <w:b w:val="0"/>
                <w:color w:val="26323F"/>
                <w:sz w:val="15"/>
              </w:rPr>
              <w:t>400.000 €</w:t>
            </w:r>
          </w:p>
        </w:tc>
        <w:tc>
          <w:tcPr>
            <w:tcW w:type="dxa" w:w="3168"/>
            <w:vAlign w:val="center"/>
          </w:tcPr>
          <w:p>
            <w:r/>
            <w:r>
              <w:rPr>
                <w:rFonts w:ascii="Arial" w:hAnsi="Arial"/>
                <w:b w:val="0"/>
                <w:color w:val="26323F"/>
                <w:sz w:val="15"/>
              </w:rPr>
              <w:t>Desde 400k; alcance por consultoría</w:t>
            </w:r>
          </w:p>
        </w:tc>
      </w:tr>
      <w:tr>
        <w:tc>
          <w:tcPr>
            <w:tcW w:type="dxa" w:w="2088"/>
            <w:vAlign w:val="center"/>
            <w:shd w:fill="F7F9FB"/>
          </w:tcPr>
          <w:p>
            <w:r/>
            <w:r>
              <w:rPr>
                <w:rFonts w:ascii="Arial" w:hAnsi="Arial"/>
                <w:b w:val="0"/>
                <w:color w:val="26323F"/>
                <w:sz w:val="15"/>
              </w:rPr>
              <w:t>Crew Starter</w:t>
            </w:r>
          </w:p>
        </w:tc>
        <w:tc>
          <w:tcPr>
            <w:tcW w:type="dxa" w:w="2952"/>
            <w:vAlign w:val="center"/>
            <w:shd w:fill="F7F9FB"/>
          </w:tcPr>
          <w:p>
            <w:r/>
            <w:r>
              <w:rPr>
                <w:rFonts w:ascii="Arial" w:hAnsi="Arial"/>
                <w:b w:val="0"/>
                <w:color w:val="26323F"/>
                <w:sz w:val="15"/>
              </w:rPr>
              <w:t>Hasta 2 cuadrillas de 4 operarios</w:t>
            </w:r>
          </w:p>
        </w:tc>
        <w:tc>
          <w:tcPr>
            <w:tcW w:type="dxa" w:w="1512"/>
            <w:vAlign w:val="center"/>
            <w:shd w:fill="F7F9FB"/>
          </w:tcPr>
          <w:p>
            <w:r/>
            <w:r>
              <w:rPr>
                <w:rFonts w:ascii="Arial" w:hAnsi="Arial"/>
                <w:b w:val="0"/>
                <w:color w:val="26323F"/>
                <w:sz w:val="15"/>
              </w:rPr>
              <w:t>35.000 €</w:t>
            </w:r>
          </w:p>
        </w:tc>
        <w:tc>
          <w:tcPr>
            <w:tcW w:type="dxa" w:w="3168"/>
            <w:vAlign w:val="center"/>
            <w:shd w:fill="F7F9FB"/>
          </w:tcPr>
          <w:p>
            <w:r/>
            <w:r>
              <w:rPr>
                <w:rFonts w:ascii="Arial" w:hAnsi="Arial"/>
                <w:b w:val="0"/>
                <w:color w:val="26323F"/>
                <w:sz w:val="15"/>
              </w:rPr>
              <w:t>Paquete cerrado</w:t>
            </w:r>
          </w:p>
        </w:tc>
      </w:tr>
      <w:tr>
        <w:tc>
          <w:tcPr>
            <w:tcW w:type="dxa" w:w="2088"/>
            <w:vAlign w:val="center"/>
          </w:tcPr>
          <w:p>
            <w:r/>
            <w:r>
              <w:rPr>
                <w:rFonts w:ascii="Arial" w:hAnsi="Arial"/>
                <w:b w:val="0"/>
                <w:color w:val="26323F"/>
                <w:sz w:val="15"/>
              </w:rPr>
              <w:t>Crew Scale</w:t>
            </w:r>
          </w:p>
        </w:tc>
        <w:tc>
          <w:tcPr>
            <w:tcW w:type="dxa" w:w="2952"/>
            <w:vAlign w:val="center"/>
          </w:tcPr>
          <w:p>
            <w:r/>
            <w:r>
              <w:rPr>
                <w:rFonts w:ascii="Arial" w:hAnsi="Arial"/>
                <w:b w:val="0"/>
                <w:color w:val="26323F"/>
                <w:sz w:val="15"/>
              </w:rPr>
              <w:t>3 a 6 cuadrillas</w:t>
            </w:r>
          </w:p>
        </w:tc>
        <w:tc>
          <w:tcPr>
            <w:tcW w:type="dxa" w:w="1512"/>
            <w:vAlign w:val="center"/>
          </w:tcPr>
          <w:p>
            <w:r/>
            <w:r>
              <w:rPr>
                <w:rFonts w:ascii="Arial" w:hAnsi="Arial"/>
                <w:b w:val="0"/>
                <w:color w:val="26323F"/>
                <w:sz w:val="15"/>
              </w:rPr>
              <w:t>75.000 €</w:t>
            </w:r>
          </w:p>
        </w:tc>
        <w:tc>
          <w:tcPr>
            <w:tcW w:type="dxa" w:w="3168"/>
            <w:vAlign w:val="center"/>
          </w:tcPr>
          <w:p>
            <w:r/>
            <w:r>
              <w:rPr>
                <w:rFonts w:ascii="Arial" w:hAnsi="Arial"/>
                <w:b w:val="0"/>
                <w:color w:val="26323F"/>
                <w:sz w:val="15"/>
              </w:rPr>
              <w:t>Paquete cerrado</w:t>
            </w:r>
          </w:p>
        </w:tc>
      </w:tr>
      <w:tr>
        <w:tc>
          <w:tcPr>
            <w:tcW w:type="dxa" w:w="2088"/>
            <w:vAlign w:val="center"/>
            <w:shd w:fill="F7F9FB"/>
          </w:tcPr>
          <w:p>
            <w:r/>
            <w:r>
              <w:rPr>
                <w:rFonts w:ascii="Arial" w:hAnsi="Arial"/>
                <w:b w:val="0"/>
                <w:color w:val="26323F"/>
                <w:sz w:val="15"/>
              </w:rPr>
              <w:t>Crew Enterprise</w:t>
            </w:r>
          </w:p>
        </w:tc>
        <w:tc>
          <w:tcPr>
            <w:tcW w:type="dxa" w:w="2952"/>
            <w:vAlign w:val="center"/>
            <w:shd w:fill="F7F9FB"/>
          </w:tcPr>
          <w:p>
            <w:r/>
            <w:r>
              <w:rPr>
                <w:rFonts w:ascii="Arial" w:hAnsi="Arial"/>
                <w:b w:val="0"/>
                <w:color w:val="26323F"/>
                <w:sz w:val="15"/>
              </w:rPr>
              <w:t>Más de 6 cuadrillas</w:t>
            </w:r>
          </w:p>
        </w:tc>
        <w:tc>
          <w:tcPr>
            <w:tcW w:type="dxa" w:w="1512"/>
            <w:vAlign w:val="center"/>
            <w:shd w:fill="F7F9FB"/>
          </w:tcPr>
          <w:p>
            <w:r/>
            <w:r>
              <w:rPr>
                <w:rFonts w:ascii="Arial" w:hAnsi="Arial"/>
                <w:b w:val="0"/>
                <w:color w:val="26323F"/>
                <w:sz w:val="15"/>
              </w:rPr>
              <w:t>12.000 €</w:t>
            </w:r>
          </w:p>
        </w:tc>
        <w:tc>
          <w:tcPr>
            <w:tcW w:type="dxa" w:w="3168"/>
            <w:vAlign w:val="center"/>
            <w:shd w:fill="F7F9FB"/>
          </w:tcPr>
          <w:p>
            <w:r/>
            <w:r>
              <w:rPr>
                <w:rFonts w:ascii="Arial" w:hAnsi="Arial"/>
                <w:b w:val="0"/>
                <w:color w:val="26323F"/>
                <w:sz w:val="15"/>
              </w:rPr>
              <w:t>12k por cuadrilla; mínimo 75k</w:t>
            </w:r>
          </w:p>
        </w:tc>
      </w:tr>
    </w:tbl>
    <w:p/>
    <w:p>
      <w:pPr>
        <w:spacing w:line="271" w:lineRule="auto" w:after="120"/>
      </w:pPr>
      <w:r>
        <w:rPr>
          <w:rFonts w:ascii="Arial" w:hAnsi="Arial"/>
          <w:color w:val="26323F"/>
          <w:sz w:val="20"/>
        </w:rPr>
        <w:t>El modelo V10 separa Fee de Red Fabricante (2.50 €/m²) y Fee de Red Montaje (2.50 €/m²). El fee combinado de referencia es 5.00 €/m² cuando aplican ambos triggers. No se presenta como royalty: son servicios de red asociados a fabricación e instalación verificadas.</w:t>
      </w:r>
    </w:p>
    <w:p>
      <w:pPr>
        <w:pStyle w:val="Heading1"/>
      </w:pPr>
      <w:r>
        <w:rPr>
          <w:rFonts w:ascii="Arial" w:hAnsi="Arial"/>
          <w:color w:val="0B1F33"/>
        </w:rPr>
        <w:t>8. Plan 300K: objetivo, uso de fondos y gates</w:t>
      </w:r>
    </w:p>
    <w:p>
      <w:pPr>
        <w:spacing w:line="271" w:lineRule="auto" w:after="120"/>
      </w:pPr>
      <w:r>
        <w:rPr>
          <w:rFonts w:ascii="Arial" w:hAnsi="Arial"/>
          <w:color w:val="26323F"/>
          <w:sz w:val="20"/>
        </w:rPr>
        <w:t>El plan 300K es el carril obligatorio. No financia toda la ambición 2030: estabiliza compañía, producto, equipo, salidas comerciales, hub, carpeta documental y primeros contratos. La disciplina es liberar fondos por entregables, no por etiquetas presupuestarias.</w:t>
      </w:r>
    </w:p>
    <w:p>
      <w:pPr>
        <w:jc w:val="center"/>
      </w:pPr>
      <w:r>
        <w:drawing>
          <wp:inline xmlns:a="http://schemas.openxmlformats.org/drawingml/2006/main" xmlns:pic="http://schemas.openxmlformats.org/drawingml/2006/picture">
            <wp:extent cx="6355080" cy="3707130"/>
            <wp:docPr id="7" name="Picture 7"/>
            <wp:cNvGraphicFramePr>
              <a:graphicFrameLocks noChangeAspect="1"/>
            </wp:cNvGraphicFramePr>
            <a:graphic>
              <a:graphicData uri="http://schemas.openxmlformats.org/drawingml/2006/picture">
                <pic:pic>
                  <pic:nvPicPr>
                    <pic:cNvPr id="0" name="05_use_funds_300k.png"/>
                    <pic:cNvPicPr/>
                  </pic:nvPicPr>
                  <pic:blipFill>
                    <a:blip r:embed="rId16"/>
                    <a:stretch>
                      <a:fillRect/>
                    </a:stretch>
                  </pic:blipFill>
                  <pic:spPr>
                    <a:xfrm>
                      <a:off x="0" y="0"/>
                      <a:ext cx="6355080" cy="3707130"/>
                    </a:xfrm>
                    <a:prstGeom prst="rect"/>
                  </pic:spPr>
                </pic:pic>
              </a:graphicData>
            </a:graphic>
          </wp:inline>
        </w:drawing>
      </w:r>
    </w:p>
    <w:p>
      <w:pPr>
        <w:spacing w:after="160"/>
        <w:jc w:val="center"/>
      </w:pPr>
      <w:r>
        <w:rPr>
          <w:rFonts w:ascii="Arial" w:hAnsi="Arial"/>
          <w:i/>
          <w:color w:val="667085"/>
          <w:sz w:val="17"/>
        </w:rPr>
        <w:t>Figura 5. Uso de fondos del tramo 300K según modelo V8 validado.</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304"/>
            <w:vAlign w:val="center"/>
            <w:shd w:fill="0B1F33"/>
          </w:tcPr>
          <w:p>
            <w:r/>
            <w:r>
              <w:rPr>
                <w:rFonts w:ascii="Arial" w:hAnsi="Arial"/>
                <w:b/>
                <w:color w:val="FFFFFF"/>
                <w:sz w:val="14"/>
              </w:rPr>
              <w:t>Bloque</w:t>
            </w:r>
          </w:p>
        </w:tc>
        <w:tc>
          <w:tcPr>
            <w:tcW w:type="dxa" w:w="1224"/>
            <w:vAlign w:val="center"/>
            <w:shd w:fill="0B1F33"/>
          </w:tcPr>
          <w:p>
            <w:r/>
            <w:r>
              <w:rPr>
                <w:rFonts w:ascii="Arial" w:hAnsi="Arial"/>
                <w:b/>
                <w:color w:val="FFFFFF"/>
                <w:sz w:val="14"/>
              </w:rPr>
              <w:t>Importe</w:t>
            </w:r>
          </w:p>
        </w:tc>
        <w:tc>
          <w:tcPr>
            <w:tcW w:type="dxa" w:w="648"/>
            <w:vAlign w:val="center"/>
            <w:shd w:fill="0B1F33"/>
          </w:tcPr>
          <w:p>
            <w:r/>
            <w:r>
              <w:rPr>
                <w:rFonts w:ascii="Arial" w:hAnsi="Arial"/>
                <w:b/>
                <w:color w:val="FFFFFF"/>
                <w:sz w:val="14"/>
              </w:rPr>
              <w:t>%</w:t>
            </w:r>
          </w:p>
        </w:tc>
        <w:tc>
          <w:tcPr>
            <w:tcW w:type="dxa" w:w="3168"/>
            <w:vAlign w:val="center"/>
            <w:shd w:fill="0B1F33"/>
          </w:tcPr>
          <w:p>
            <w:r/>
            <w:r>
              <w:rPr>
                <w:rFonts w:ascii="Arial" w:hAnsi="Arial"/>
                <w:b/>
                <w:color w:val="FFFFFF"/>
                <w:sz w:val="14"/>
              </w:rPr>
              <w:t>Objetivo</w:t>
            </w:r>
          </w:p>
        </w:tc>
        <w:tc>
          <w:tcPr>
            <w:tcW w:type="dxa" w:w="2160"/>
            <w:vAlign w:val="center"/>
            <w:shd w:fill="0B1F33"/>
          </w:tcPr>
          <w:p>
            <w:r/>
            <w:r>
              <w:rPr>
                <w:rFonts w:ascii="Arial" w:hAnsi="Arial"/>
                <w:b/>
                <w:color w:val="FFFFFF"/>
                <w:sz w:val="14"/>
              </w:rPr>
              <w:t>Gate</w:t>
            </w:r>
          </w:p>
        </w:tc>
      </w:tr>
      <w:tr>
        <w:tc>
          <w:tcPr>
            <w:tcW w:type="dxa" w:w="2304"/>
            <w:vAlign w:val="center"/>
            <w:shd w:fill="F7F9FB"/>
          </w:tcPr>
          <w:p>
            <w:r/>
            <w:r>
              <w:rPr>
                <w:rFonts w:ascii="Arial" w:hAnsi="Arial"/>
                <w:b w:val="0"/>
                <w:color w:val="26323F"/>
                <w:sz w:val="14"/>
              </w:rPr>
              <w:t>Equipo base julio-diciembre 2026</w:t>
            </w:r>
          </w:p>
        </w:tc>
        <w:tc>
          <w:tcPr>
            <w:tcW w:type="dxa" w:w="1224"/>
            <w:vAlign w:val="center"/>
            <w:shd w:fill="F7F9FB"/>
          </w:tcPr>
          <w:p>
            <w:r/>
            <w:r>
              <w:rPr>
                <w:rFonts w:ascii="Arial" w:hAnsi="Arial"/>
                <w:b w:val="0"/>
                <w:color w:val="26323F"/>
                <w:sz w:val="14"/>
              </w:rPr>
              <w:t>114.600 €</w:t>
            </w:r>
          </w:p>
        </w:tc>
        <w:tc>
          <w:tcPr>
            <w:tcW w:type="dxa" w:w="648"/>
            <w:vAlign w:val="center"/>
            <w:shd w:fill="F7F9FB"/>
          </w:tcPr>
          <w:p>
            <w:r/>
            <w:r>
              <w:rPr>
                <w:rFonts w:ascii="Arial" w:hAnsi="Arial"/>
                <w:b w:val="0"/>
                <w:color w:val="26323F"/>
                <w:sz w:val="14"/>
              </w:rPr>
              <w:t>38,2%</w:t>
            </w:r>
          </w:p>
        </w:tc>
        <w:tc>
          <w:tcPr>
            <w:tcW w:type="dxa" w:w="3168"/>
            <w:vAlign w:val="center"/>
            <w:shd w:fill="F7F9FB"/>
          </w:tcPr>
          <w:p>
            <w:r/>
            <w:r>
              <w:rPr>
                <w:rFonts w:ascii="Arial" w:hAnsi="Arial"/>
                <w:b w:val="0"/>
                <w:color w:val="26323F"/>
                <w:sz w:val="14"/>
              </w:rPr>
              <w:t>Continuidad directiva, producto, operaciones y comercial</w:t>
            </w:r>
          </w:p>
        </w:tc>
        <w:tc>
          <w:tcPr>
            <w:tcW w:type="dxa" w:w="2160"/>
            <w:vAlign w:val="center"/>
            <w:shd w:fill="F7F9FB"/>
          </w:tcPr>
          <w:p>
            <w:r/>
            <w:r>
              <w:rPr>
                <w:rFonts w:ascii="Arial" w:hAnsi="Arial"/>
                <w:b w:val="0"/>
                <w:color w:val="26323F"/>
                <w:sz w:val="14"/>
              </w:rPr>
              <w:t>Calendario mensual y roles definidos</w:t>
            </w:r>
          </w:p>
        </w:tc>
      </w:tr>
      <w:tr>
        <w:tc>
          <w:tcPr>
            <w:tcW w:type="dxa" w:w="2304"/>
            <w:vAlign w:val="center"/>
          </w:tcPr>
          <w:p>
            <w:r/>
            <w:r>
              <w:rPr>
                <w:rFonts w:ascii="Arial" w:hAnsi="Arial"/>
                <w:b w:val="0"/>
                <w:color w:val="26323F"/>
                <w:sz w:val="14"/>
              </w:rPr>
              <w:t>Seguridad Social / cumplimiento laboral</w:t>
            </w:r>
          </w:p>
        </w:tc>
        <w:tc>
          <w:tcPr>
            <w:tcW w:type="dxa" w:w="1224"/>
            <w:vAlign w:val="center"/>
          </w:tcPr>
          <w:p>
            <w:r/>
            <w:r>
              <w:rPr>
                <w:rFonts w:ascii="Arial" w:hAnsi="Arial"/>
                <w:b w:val="0"/>
                <w:color w:val="26323F"/>
                <w:sz w:val="14"/>
              </w:rPr>
              <w:t>18.000 €</w:t>
            </w:r>
          </w:p>
        </w:tc>
        <w:tc>
          <w:tcPr>
            <w:tcW w:type="dxa" w:w="648"/>
            <w:vAlign w:val="center"/>
          </w:tcPr>
          <w:p>
            <w:r/>
            <w:r>
              <w:rPr>
                <w:rFonts w:ascii="Arial" w:hAnsi="Arial"/>
                <w:b w:val="0"/>
                <w:color w:val="26323F"/>
                <w:sz w:val="14"/>
              </w:rPr>
              <w:t>6,0%</w:t>
            </w:r>
          </w:p>
        </w:tc>
        <w:tc>
          <w:tcPr>
            <w:tcW w:type="dxa" w:w="3168"/>
            <w:vAlign w:val="center"/>
          </w:tcPr>
          <w:p>
            <w:r/>
            <w:r>
              <w:rPr>
                <w:rFonts w:ascii="Arial" w:hAnsi="Arial"/>
                <w:b w:val="0"/>
                <w:color w:val="26323F"/>
                <w:sz w:val="14"/>
              </w:rPr>
              <w:t>Provisiones laborales y regularización</w:t>
            </w:r>
          </w:p>
        </w:tc>
        <w:tc>
          <w:tcPr>
            <w:tcW w:type="dxa" w:w="2160"/>
            <w:vAlign w:val="center"/>
          </w:tcPr>
          <w:p>
            <w:r/>
            <w:r>
              <w:rPr>
                <w:rFonts w:ascii="Arial" w:hAnsi="Arial"/>
                <w:b w:val="0"/>
                <w:color w:val="26323F"/>
                <w:sz w:val="14"/>
              </w:rPr>
              <w:t>Contrataciones formalizadas</w:t>
            </w:r>
          </w:p>
        </w:tc>
      </w:tr>
      <w:tr>
        <w:tc>
          <w:tcPr>
            <w:tcW w:type="dxa" w:w="2304"/>
            <w:vAlign w:val="center"/>
            <w:shd w:fill="F7F9FB"/>
          </w:tcPr>
          <w:p>
            <w:r/>
            <w:r>
              <w:rPr>
                <w:rFonts w:ascii="Arial" w:hAnsi="Arial"/>
                <w:b w:val="0"/>
                <w:color w:val="26323F"/>
                <w:sz w:val="14"/>
              </w:rPr>
              <w:t>Software / IT / telecom / IA</w:t>
            </w:r>
          </w:p>
        </w:tc>
        <w:tc>
          <w:tcPr>
            <w:tcW w:type="dxa" w:w="1224"/>
            <w:vAlign w:val="center"/>
            <w:shd w:fill="F7F9FB"/>
          </w:tcPr>
          <w:p>
            <w:r/>
            <w:r>
              <w:rPr>
                <w:rFonts w:ascii="Arial" w:hAnsi="Arial"/>
                <w:b w:val="0"/>
                <w:color w:val="26323F"/>
                <w:sz w:val="14"/>
              </w:rPr>
              <w:t>78.000 €</w:t>
            </w:r>
          </w:p>
        </w:tc>
        <w:tc>
          <w:tcPr>
            <w:tcW w:type="dxa" w:w="648"/>
            <w:vAlign w:val="center"/>
            <w:shd w:fill="F7F9FB"/>
          </w:tcPr>
          <w:p>
            <w:r/>
            <w:r>
              <w:rPr>
                <w:rFonts w:ascii="Arial" w:hAnsi="Arial"/>
                <w:b w:val="0"/>
                <w:color w:val="26323F"/>
                <w:sz w:val="14"/>
              </w:rPr>
              <w:t>26,0%</w:t>
            </w:r>
          </w:p>
        </w:tc>
        <w:tc>
          <w:tcPr>
            <w:tcW w:type="dxa" w:w="3168"/>
            <w:vAlign w:val="center"/>
            <w:shd w:fill="F7F9FB"/>
          </w:tcPr>
          <w:p>
            <w:r/>
            <w:r>
              <w:rPr>
                <w:rFonts w:ascii="Arial" w:hAnsi="Arial"/>
                <w:b w:val="0"/>
                <w:color w:val="26323F"/>
                <w:sz w:val="14"/>
              </w:rPr>
              <w:t>CUEVA OS, DPP/POI, cloud, seguridad, demos y campo</w:t>
            </w:r>
          </w:p>
        </w:tc>
        <w:tc>
          <w:tcPr>
            <w:tcW w:type="dxa" w:w="2160"/>
            <w:vAlign w:val="center"/>
            <w:shd w:fill="F7F9FB"/>
          </w:tcPr>
          <w:p>
            <w:r/>
            <w:r>
              <w:rPr>
                <w:rFonts w:ascii="Arial" w:hAnsi="Arial"/>
                <w:b w:val="0"/>
                <w:color w:val="26323F"/>
                <w:sz w:val="14"/>
              </w:rPr>
              <w:t>Compra por hitos y necesidad de proyecto</w:t>
            </w:r>
          </w:p>
        </w:tc>
      </w:tr>
      <w:tr>
        <w:tc>
          <w:tcPr>
            <w:tcW w:type="dxa" w:w="2304"/>
            <w:vAlign w:val="center"/>
          </w:tcPr>
          <w:p>
            <w:r/>
            <w:r>
              <w:rPr>
                <w:rFonts w:ascii="Arial" w:hAnsi="Arial"/>
                <w:b w:val="0"/>
                <w:color w:val="26323F"/>
                <w:sz w:val="14"/>
              </w:rPr>
              <w:t>Marketing y comunicación</w:t>
            </w:r>
          </w:p>
        </w:tc>
        <w:tc>
          <w:tcPr>
            <w:tcW w:type="dxa" w:w="1224"/>
            <w:vAlign w:val="center"/>
          </w:tcPr>
          <w:p>
            <w:r/>
            <w:r>
              <w:rPr>
                <w:rFonts w:ascii="Arial" w:hAnsi="Arial"/>
                <w:b w:val="0"/>
                <w:color w:val="26323F"/>
                <w:sz w:val="14"/>
              </w:rPr>
              <w:t>18.000 €</w:t>
            </w:r>
          </w:p>
        </w:tc>
        <w:tc>
          <w:tcPr>
            <w:tcW w:type="dxa" w:w="648"/>
            <w:vAlign w:val="center"/>
          </w:tcPr>
          <w:p>
            <w:r/>
            <w:r>
              <w:rPr>
                <w:rFonts w:ascii="Arial" w:hAnsi="Arial"/>
                <w:b w:val="0"/>
                <w:color w:val="26323F"/>
                <w:sz w:val="14"/>
              </w:rPr>
              <w:t>6,0%</w:t>
            </w:r>
          </w:p>
        </w:tc>
        <w:tc>
          <w:tcPr>
            <w:tcW w:type="dxa" w:w="3168"/>
            <w:vAlign w:val="center"/>
          </w:tcPr>
          <w:p>
            <w:r/>
            <w:r>
              <w:rPr>
                <w:rFonts w:ascii="Arial" w:hAnsi="Arial"/>
                <w:b w:val="0"/>
                <w:color w:val="26323F"/>
                <w:sz w:val="14"/>
              </w:rPr>
              <w:t>Web, deck, casos, CRM y lanzamiento</w:t>
            </w:r>
          </w:p>
        </w:tc>
        <w:tc>
          <w:tcPr>
            <w:tcW w:type="dxa" w:w="2160"/>
            <w:vAlign w:val="center"/>
          </w:tcPr>
          <w:p>
            <w:r/>
            <w:r>
              <w:rPr>
                <w:rFonts w:ascii="Arial" w:hAnsi="Arial"/>
                <w:b w:val="0"/>
                <w:color w:val="26323F"/>
                <w:sz w:val="14"/>
              </w:rPr>
              <w:t>Producto demo estable</w:t>
            </w:r>
          </w:p>
        </w:tc>
      </w:tr>
      <w:tr>
        <w:tc>
          <w:tcPr>
            <w:tcW w:type="dxa" w:w="2304"/>
            <w:vAlign w:val="center"/>
            <w:shd w:fill="F7F9FB"/>
          </w:tcPr>
          <w:p>
            <w:r/>
            <w:r>
              <w:rPr>
                <w:rFonts w:ascii="Arial" w:hAnsi="Arial"/>
                <w:b w:val="0"/>
                <w:color w:val="26323F"/>
                <w:sz w:val="14"/>
              </w:rPr>
              <w:t>Saneamiento operativo y cierres críticos</w:t>
            </w:r>
          </w:p>
        </w:tc>
        <w:tc>
          <w:tcPr>
            <w:tcW w:type="dxa" w:w="1224"/>
            <w:vAlign w:val="center"/>
            <w:shd w:fill="F7F9FB"/>
          </w:tcPr>
          <w:p>
            <w:r/>
            <w:r>
              <w:rPr>
                <w:rFonts w:ascii="Arial" w:hAnsi="Arial"/>
                <w:b w:val="0"/>
                <w:color w:val="26323F"/>
                <w:sz w:val="14"/>
              </w:rPr>
              <w:t>43.400 €</w:t>
            </w:r>
          </w:p>
        </w:tc>
        <w:tc>
          <w:tcPr>
            <w:tcW w:type="dxa" w:w="648"/>
            <w:vAlign w:val="center"/>
            <w:shd w:fill="F7F9FB"/>
          </w:tcPr>
          <w:p>
            <w:r/>
            <w:r>
              <w:rPr>
                <w:rFonts w:ascii="Arial" w:hAnsi="Arial"/>
                <w:b w:val="0"/>
                <w:color w:val="26323F"/>
                <w:sz w:val="14"/>
              </w:rPr>
              <w:t>14,5%</w:t>
            </w:r>
          </w:p>
        </w:tc>
        <w:tc>
          <w:tcPr>
            <w:tcW w:type="dxa" w:w="3168"/>
            <w:vAlign w:val="center"/>
            <w:shd w:fill="F7F9FB"/>
          </w:tcPr>
          <w:p>
            <w:r/>
            <w:r>
              <w:rPr>
                <w:rFonts w:ascii="Arial" w:hAnsi="Arial"/>
                <w:b w:val="0"/>
                <w:color w:val="26323F"/>
                <w:sz w:val="14"/>
              </w:rPr>
              <w:t>Medhi, Apellicer, Ferzohaus, Piedrahita y cierres menores</w:t>
            </w:r>
          </w:p>
        </w:tc>
        <w:tc>
          <w:tcPr>
            <w:tcW w:type="dxa" w:w="2160"/>
            <w:vAlign w:val="center"/>
            <w:shd w:fill="F7F9FB"/>
          </w:tcPr>
          <w:p>
            <w:r/>
            <w:r>
              <w:rPr>
                <w:rFonts w:ascii="Arial" w:hAnsi="Arial"/>
                <w:b w:val="0"/>
                <w:color w:val="26323F"/>
                <w:sz w:val="14"/>
              </w:rPr>
              <w:t>Acuerdos firmados</w:t>
            </w:r>
          </w:p>
        </w:tc>
      </w:tr>
      <w:tr>
        <w:tc>
          <w:tcPr>
            <w:tcW w:type="dxa" w:w="2304"/>
            <w:vAlign w:val="center"/>
          </w:tcPr>
          <w:p>
            <w:r/>
            <w:r>
              <w:rPr>
                <w:rFonts w:ascii="Arial" w:hAnsi="Arial"/>
                <w:b w:val="0"/>
                <w:color w:val="26323F"/>
                <w:sz w:val="14"/>
              </w:rPr>
              <w:t>Hub OADAC / Valeriano / showroom</w:t>
            </w:r>
          </w:p>
        </w:tc>
        <w:tc>
          <w:tcPr>
            <w:tcW w:type="dxa" w:w="1224"/>
            <w:vAlign w:val="center"/>
          </w:tcPr>
          <w:p>
            <w:r/>
            <w:r>
              <w:rPr>
                <w:rFonts w:ascii="Arial" w:hAnsi="Arial"/>
                <w:b w:val="0"/>
                <w:color w:val="26323F"/>
                <w:sz w:val="14"/>
              </w:rPr>
              <w:t>23.000 €</w:t>
            </w:r>
          </w:p>
        </w:tc>
        <w:tc>
          <w:tcPr>
            <w:tcW w:type="dxa" w:w="648"/>
            <w:vAlign w:val="center"/>
          </w:tcPr>
          <w:p>
            <w:r/>
            <w:r>
              <w:rPr>
                <w:rFonts w:ascii="Arial" w:hAnsi="Arial"/>
                <w:b w:val="0"/>
                <w:color w:val="26323F"/>
                <w:sz w:val="14"/>
              </w:rPr>
              <w:t>7,7%</w:t>
            </w:r>
          </w:p>
        </w:tc>
        <w:tc>
          <w:tcPr>
            <w:tcW w:type="dxa" w:w="3168"/>
            <w:vAlign w:val="center"/>
          </w:tcPr>
          <w:p>
            <w:r/>
            <w:r>
              <w:rPr>
                <w:rFonts w:ascii="Arial" w:hAnsi="Arial"/>
                <w:b w:val="0"/>
                <w:color w:val="26323F"/>
                <w:sz w:val="14"/>
              </w:rPr>
              <w:t>Nodo Menorca fase 0-1 sin sobredimensionar</w:t>
            </w:r>
          </w:p>
        </w:tc>
        <w:tc>
          <w:tcPr>
            <w:tcW w:type="dxa" w:w="2160"/>
            <w:vAlign w:val="center"/>
          </w:tcPr>
          <w:p>
            <w:r/>
            <w:r>
              <w:rPr>
                <w:rFonts w:ascii="Arial" w:hAnsi="Arial"/>
                <w:b w:val="0"/>
                <w:color w:val="26323F"/>
                <w:sz w:val="14"/>
              </w:rPr>
              <w:t>Acuerdo Valeriano y layout definido</w:t>
            </w:r>
          </w:p>
        </w:tc>
      </w:tr>
      <w:tr>
        <w:tc>
          <w:tcPr>
            <w:tcW w:type="dxa" w:w="2304"/>
            <w:vAlign w:val="center"/>
            <w:shd w:fill="F7F9FB"/>
          </w:tcPr>
          <w:p>
            <w:r/>
            <w:r>
              <w:rPr>
                <w:rFonts w:ascii="Arial" w:hAnsi="Arial"/>
                <w:b w:val="0"/>
                <w:color w:val="26323F"/>
                <w:sz w:val="14"/>
              </w:rPr>
              <w:t>Legal, auditoría, documentación y contingencia</w:t>
            </w:r>
          </w:p>
        </w:tc>
        <w:tc>
          <w:tcPr>
            <w:tcW w:type="dxa" w:w="1224"/>
            <w:vAlign w:val="center"/>
            <w:shd w:fill="F7F9FB"/>
          </w:tcPr>
          <w:p>
            <w:r/>
            <w:r>
              <w:rPr>
                <w:rFonts w:ascii="Arial" w:hAnsi="Arial"/>
                <w:b w:val="0"/>
                <w:color w:val="26323F"/>
                <w:sz w:val="14"/>
              </w:rPr>
              <w:t>5.000 €</w:t>
            </w:r>
          </w:p>
        </w:tc>
        <w:tc>
          <w:tcPr>
            <w:tcW w:type="dxa" w:w="648"/>
            <w:vAlign w:val="center"/>
            <w:shd w:fill="F7F9FB"/>
          </w:tcPr>
          <w:p>
            <w:r/>
            <w:r>
              <w:rPr>
                <w:rFonts w:ascii="Arial" w:hAnsi="Arial"/>
                <w:b w:val="0"/>
                <w:color w:val="26323F"/>
                <w:sz w:val="14"/>
              </w:rPr>
              <w:t>1,7%</w:t>
            </w:r>
          </w:p>
        </w:tc>
        <w:tc>
          <w:tcPr>
            <w:tcW w:type="dxa" w:w="3168"/>
            <w:vAlign w:val="center"/>
            <w:shd w:fill="F7F9FB"/>
          </w:tcPr>
          <w:p>
            <w:r/>
            <w:r>
              <w:rPr>
                <w:rFonts w:ascii="Arial" w:hAnsi="Arial"/>
                <w:b w:val="0"/>
                <w:color w:val="26323F"/>
                <w:sz w:val="14"/>
              </w:rPr>
              <w:t>Blindaje documental y carpeta documental</w:t>
            </w:r>
          </w:p>
        </w:tc>
        <w:tc>
          <w:tcPr>
            <w:tcW w:type="dxa" w:w="2160"/>
            <w:vAlign w:val="center"/>
            <w:shd w:fill="F7F9FB"/>
          </w:tcPr>
          <w:p>
            <w:r/>
            <w:r>
              <w:rPr>
                <w:rFonts w:ascii="Arial" w:hAnsi="Arial"/>
                <w:b w:val="0"/>
                <w:color w:val="26323F"/>
                <w:sz w:val="14"/>
              </w:rPr>
              <w:t>Checklist audit-ready</w:t>
            </w:r>
          </w:p>
        </w:tc>
      </w:tr>
    </w:tbl>
    <w:p/>
    <w:p>
      <w:pPr>
        <w:pStyle w:val="Heading1"/>
      </w:pPr>
      <w:r>
        <w:rPr>
          <w:rFonts w:ascii="Arial" w:hAnsi="Arial"/>
          <w:color w:val="0B1F33"/>
        </w:rPr>
        <w:t>9. Plan 2027 y go-to-market</w:t>
      </w:r>
    </w:p>
    <w:p>
      <w:pPr>
        <w:spacing w:line="271" w:lineRule="auto" w:after="120"/>
      </w:pPr>
      <w:r>
        <w:rPr>
          <w:rFonts w:ascii="Arial" w:hAnsi="Arial"/>
          <w:color w:val="26323F"/>
          <w:sz w:val="20"/>
        </w:rPr>
        <w:t>El pipeline 2027 se reconstruye con criterio v10: un único KIWA/RMOOB de 400k, pricing de digitalización por tier real de planta, digitalización de montaje, fees de red por m² fabricados/instalados y separación entre management case y lectura ponderada.</w:t>
      </w:r>
    </w:p>
    <w:p>
      <w:pPr>
        <w:jc w:val="center"/>
      </w:pPr>
      <w:r>
        <w:drawing>
          <wp:inline xmlns:a="http://schemas.openxmlformats.org/drawingml/2006/main" xmlns:pic="http://schemas.openxmlformats.org/drawingml/2006/picture">
            <wp:extent cx="6355080" cy="3707130"/>
            <wp:docPr id="8" name="Picture 8"/>
            <wp:cNvGraphicFramePr>
              <a:graphicFrameLocks noChangeAspect="1"/>
            </wp:cNvGraphicFramePr>
            <a:graphic>
              <a:graphicData uri="http://schemas.openxmlformats.org/drawingml/2006/picture">
                <pic:pic>
                  <pic:nvPicPr>
                    <pic:cNvPr id="0" name="06_pipeline_2027.png"/>
                    <pic:cNvPicPr/>
                  </pic:nvPicPr>
                  <pic:blipFill>
                    <a:blip r:embed="rId17"/>
                    <a:stretch>
                      <a:fillRect/>
                    </a:stretch>
                  </pic:blipFill>
                  <pic:spPr>
                    <a:xfrm>
                      <a:off x="0" y="0"/>
                      <a:ext cx="6355080" cy="3707130"/>
                    </a:xfrm>
                    <a:prstGeom prst="rect"/>
                  </pic:spPr>
                </pic:pic>
              </a:graphicData>
            </a:graphic>
          </wp:inline>
        </w:drawing>
      </w:r>
    </w:p>
    <w:p>
      <w:pPr>
        <w:spacing w:after="160"/>
        <w:jc w:val="center"/>
      </w:pPr>
      <w:r>
        <w:rPr>
          <w:rFonts w:ascii="Arial" w:hAnsi="Arial"/>
          <w:i/>
          <w:color w:val="667085"/>
          <w:sz w:val="17"/>
        </w:rPr>
        <w:t>Figura 6. Pipeline 2027 base y ponderado por línea.</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c>
          <w:tcPr>
            <w:tcW w:type="dxa" w:w="2448"/>
            <w:vAlign w:val="center"/>
            <w:shd w:fill="0B1F33"/>
          </w:tcPr>
          <w:p>
            <w:r/>
            <w:r>
              <w:rPr>
                <w:rFonts w:ascii="Arial" w:hAnsi="Arial"/>
                <w:b/>
                <w:color w:val="FFFFFF"/>
                <w:sz w:val="13"/>
              </w:rPr>
              <w:t>Proyecto / línea</w:t>
            </w:r>
          </w:p>
        </w:tc>
        <w:tc>
          <w:tcPr>
            <w:tcW w:type="dxa" w:w="1224"/>
            <w:vAlign w:val="center"/>
            <w:shd w:fill="0B1F33"/>
          </w:tcPr>
          <w:p>
            <w:r/>
            <w:r>
              <w:rPr>
                <w:rFonts w:ascii="Arial" w:hAnsi="Arial"/>
                <w:b/>
                <w:color w:val="FFFFFF"/>
                <w:sz w:val="13"/>
              </w:rPr>
              <w:t>Base 2027</w:t>
            </w:r>
          </w:p>
        </w:tc>
        <w:tc>
          <w:tcPr>
            <w:tcW w:type="dxa" w:w="648"/>
            <w:vAlign w:val="center"/>
            <w:shd w:fill="0B1F33"/>
          </w:tcPr>
          <w:p>
            <w:r/>
            <w:r>
              <w:rPr>
                <w:rFonts w:ascii="Arial" w:hAnsi="Arial"/>
                <w:b/>
                <w:color w:val="FFFFFF"/>
                <w:sz w:val="13"/>
              </w:rPr>
              <w:t>Prob.</w:t>
            </w:r>
          </w:p>
        </w:tc>
        <w:tc>
          <w:tcPr>
            <w:tcW w:type="dxa" w:w="1224"/>
            <w:vAlign w:val="center"/>
            <w:shd w:fill="0B1F33"/>
          </w:tcPr>
          <w:p>
            <w:r/>
            <w:r>
              <w:rPr>
                <w:rFonts w:ascii="Arial" w:hAnsi="Arial"/>
                <w:b/>
                <w:color w:val="FFFFFF"/>
                <w:sz w:val="13"/>
              </w:rPr>
              <w:t>Ponderado</w:t>
            </w:r>
          </w:p>
        </w:tc>
        <w:tc>
          <w:tcPr>
            <w:tcW w:type="dxa" w:w="648"/>
            <w:vAlign w:val="center"/>
            <w:shd w:fill="0B1F33"/>
          </w:tcPr>
          <w:p>
            <w:r/>
            <w:r>
              <w:rPr>
                <w:rFonts w:ascii="Arial" w:hAnsi="Arial"/>
                <w:b/>
                <w:color w:val="FFFFFF"/>
                <w:sz w:val="13"/>
              </w:rPr>
              <w:t>GM</w:t>
            </w:r>
          </w:p>
        </w:tc>
        <w:tc>
          <w:tcPr>
            <w:tcW w:type="dxa" w:w="2592"/>
            <w:vAlign w:val="center"/>
            <w:shd w:fill="0B1F33"/>
          </w:tcPr>
          <w:p>
            <w:r/>
            <w:r>
              <w:rPr>
                <w:rFonts w:ascii="Arial" w:hAnsi="Arial"/>
                <w:b/>
                <w:color w:val="FFFFFF"/>
                <w:sz w:val="13"/>
              </w:rPr>
              <w:t>Gate</w:t>
            </w:r>
          </w:p>
        </w:tc>
        <w:tc>
          <w:tcPr>
            <w:tcW w:type="dxa" w:w="2016"/>
            <w:vAlign w:val="center"/>
            <w:shd w:fill="0B1F33"/>
          </w:tcPr>
          <w:p>
            <w:r/>
            <w:r>
              <w:rPr>
                <w:rFonts w:ascii="Arial" w:hAnsi="Arial"/>
                <w:b/>
                <w:color w:val="FFFFFF"/>
                <w:sz w:val="13"/>
              </w:rPr>
              <w:t>Decisión si falla</w:t>
            </w:r>
          </w:p>
        </w:tc>
      </w:tr>
      <w:tr>
        <w:tc>
          <w:tcPr>
            <w:tcW w:type="dxa" w:w="2448"/>
            <w:vAlign w:val="center"/>
            <w:shd w:fill="F7F9FB"/>
          </w:tcPr>
          <w:p>
            <w:r/>
            <w:r>
              <w:rPr>
                <w:rFonts w:ascii="Arial" w:hAnsi="Arial"/>
                <w:b w:val="0"/>
                <w:color w:val="26323F"/>
                <w:sz w:val="13"/>
              </w:rPr>
              <w:t>Llar de Mar 2</w:t>
            </w:r>
          </w:p>
        </w:tc>
        <w:tc>
          <w:tcPr>
            <w:tcW w:type="dxa" w:w="1224"/>
            <w:vAlign w:val="center"/>
            <w:shd w:fill="F7F9FB"/>
          </w:tcPr>
          <w:p>
            <w:r/>
            <w:r>
              <w:rPr>
                <w:rFonts w:ascii="Arial" w:hAnsi="Arial"/>
                <w:b w:val="0"/>
                <w:color w:val="26323F"/>
                <w:sz w:val="13"/>
              </w:rPr>
              <w:t>535.000 €</w:t>
            </w:r>
          </w:p>
        </w:tc>
        <w:tc>
          <w:tcPr>
            <w:tcW w:type="dxa" w:w="648"/>
            <w:vAlign w:val="center"/>
            <w:shd w:fill="F7F9FB"/>
          </w:tcPr>
          <w:p>
            <w:r/>
            <w:r>
              <w:rPr>
                <w:rFonts w:ascii="Arial" w:hAnsi="Arial"/>
                <w:b w:val="0"/>
                <w:color w:val="26323F"/>
                <w:sz w:val="13"/>
              </w:rPr>
              <w:t>80%</w:t>
            </w:r>
          </w:p>
        </w:tc>
        <w:tc>
          <w:tcPr>
            <w:tcW w:type="dxa" w:w="1224"/>
            <w:vAlign w:val="center"/>
            <w:shd w:fill="F7F9FB"/>
          </w:tcPr>
          <w:p>
            <w:r/>
            <w:r>
              <w:rPr>
                <w:rFonts w:ascii="Arial" w:hAnsi="Arial"/>
                <w:b w:val="0"/>
                <w:color w:val="26323F"/>
                <w:sz w:val="13"/>
              </w:rPr>
              <w:t>428.000 €</w:t>
            </w:r>
          </w:p>
        </w:tc>
        <w:tc>
          <w:tcPr>
            <w:tcW w:type="dxa" w:w="648"/>
            <w:vAlign w:val="center"/>
            <w:shd w:fill="F7F9FB"/>
          </w:tcPr>
          <w:p>
            <w:r/>
            <w:r>
              <w:rPr>
                <w:rFonts w:ascii="Arial" w:hAnsi="Arial"/>
                <w:b w:val="0"/>
                <w:color w:val="26323F"/>
                <w:sz w:val="13"/>
              </w:rPr>
              <w:t>25%</w:t>
            </w:r>
          </w:p>
        </w:tc>
        <w:tc>
          <w:tcPr>
            <w:tcW w:type="dxa" w:w="2592"/>
            <w:vAlign w:val="center"/>
            <w:shd w:fill="F7F9FB"/>
          </w:tcPr>
          <w:p>
            <w:r/>
            <w:r>
              <w:rPr>
                <w:rFonts w:ascii="Arial" w:hAnsi="Arial"/>
                <w:b w:val="0"/>
                <w:color w:val="26323F"/>
                <w:sz w:val="13"/>
              </w:rPr>
              <w:t>Contrato + anticipo</w:t>
            </w:r>
          </w:p>
        </w:tc>
        <w:tc>
          <w:tcPr>
            <w:tcW w:type="dxa" w:w="2016"/>
            <w:vAlign w:val="center"/>
            <w:shd w:fill="F7F9FB"/>
          </w:tcPr>
          <w:p>
            <w:r/>
            <w:r>
              <w:rPr>
                <w:rFonts w:ascii="Arial" w:hAnsi="Arial"/>
                <w:b w:val="0"/>
                <w:color w:val="26323F"/>
                <w:sz w:val="13"/>
              </w:rPr>
              <w:t>No activar coste sin anticipo</w:t>
            </w:r>
          </w:p>
        </w:tc>
      </w:tr>
      <w:tr>
        <w:tc>
          <w:tcPr>
            <w:tcW w:type="dxa" w:w="2448"/>
            <w:vAlign w:val="center"/>
          </w:tcPr>
          <w:p>
            <w:r/>
            <w:r>
              <w:rPr>
                <w:rFonts w:ascii="Arial" w:hAnsi="Arial"/>
                <w:b w:val="0"/>
                <w:color w:val="26323F"/>
                <w:sz w:val="13"/>
              </w:rPr>
              <w:t>Digitalización fabricante partner piloto</w:t>
            </w:r>
          </w:p>
        </w:tc>
        <w:tc>
          <w:tcPr>
            <w:tcW w:type="dxa" w:w="1224"/>
            <w:vAlign w:val="center"/>
          </w:tcPr>
          <w:p>
            <w:r/>
            <w:r>
              <w:rPr>
                <w:rFonts w:ascii="Arial" w:hAnsi="Arial"/>
                <w:b w:val="0"/>
                <w:color w:val="26323F"/>
                <w:sz w:val="13"/>
              </w:rPr>
              <w:t>250.000 €</w:t>
            </w:r>
          </w:p>
        </w:tc>
        <w:tc>
          <w:tcPr>
            <w:tcW w:type="dxa" w:w="648"/>
            <w:vAlign w:val="center"/>
          </w:tcPr>
          <w:p>
            <w:r/>
            <w:r>
              <w:rPr>
                <w:rFonts w:ascii="Arial" w:hAnsi="Arial"/>
                <w:b w:val="0"/>
                <w:color w:val="26323F"/>
                <w:sz w:val="13"/>
              </w:rPr>
              <w:t>70%</w:t>
            </w:r>
          </w:p>
        </w:tc>
        <w:tc>
          <w:tcPr>
            <w:tcW w:type="dxa" w:w="1224"/>
            <w:vAlign w:val="center"/>
          </w:tcPr>
          <w:p>
            <w:r/>
            <w:r>
              <w:rPr>
                <w:rFonts w:ascii="Arial" w:hAnsi="Arial"/>
                <w:b w:val="0"/>
                <w:color w:val="26323F"/>
                <w:sz w:val="13"/>
              </w:rPr>
              <w:t>175.000 €</w:t>
            </w:r>
          </w:p>
        </w:tc>
        <w:tc>
          <w:tcPr>
            <w:tcW w:type="dxa" w:w="648"/>
            <w:vAlign w:val="center"/>
          </w:tcPr>
          <w:p>
            <w:r/>
            <w:r>
              <w:rPr>
                <w:rFonts w:ascii="Arial" w:hAnsi="Arial"/>
                <w:b w:val="0"/>
                <w:color w:val="26323F"/>
                <w:sz w:val="13"/>
              </w:rPr>
              <w:t>58%</w:t>
            </w:r>
          </w:p>
        </w:tc>
        <w:tc>
          <w:tcPr>
            <w:tcW w:type="dxa" w:w="2592"/>
            <w:vAlign w:val="center"/>
          </w:tcPr>
          <w:p>
            <w:r/>
            <w:r>
              <w:rPr>
                <w:rFonts w:ascii="Arial" w:hAnsi="Arial"/>
                <w:b w:val="0"/>
                <w:color w:val="26323F"/>
                <w:sz w:val="13"/>
              </w:rPr>
              <w:t>m² planta validados</w:t>
            </w:r>
          </w:p>
        </w:tc>
        <w:tc>
          <w:tcPr>
            <w:tcW w:type="dxa" w:w="2016"/>
            <w:vAlign w:val="center"/>
          </w:tcPr>
          <w:p>
            <w:r/>
            <w:r>
              <w:rPr>
                <w:rFonts w:ascii="Arial" w:hAnsi="Arial"/>
                <w:b w:val="0"/>
                <w:color w:val="26323F"/>
                <w:sz w:val="13"/>
              </w:rPr>
              <w:t>Reclasificar tier o fasear</w:t>
            </w:r>
          </w:p>
        </w:tc>
      </w:tr>
      <w:tr>
        <w:tc>
          <w:tcPr>
            <w:tcW w:type="dxa" w:w="2448"/>
            <w:vAlign w:val="center"/>
            <w:shd w:fill="F7F9FB"/>
          </w:tcPr>
          <w:p>
            <w:r/>
            <w:r>
              <w:rPr>
                <w:rFonts w:ascii="Arial" w:hAnsi="Arial"/>
                <w:b w:val="0"/>
                <w:color w:val="26323F"/>
                <w:sz w:val="13"/>
              </w:rPr>
              <w:t>Digitalización equipo de montaje</w:t>
            </w:r>
          </w:p>
        </w:tc>
        <w:tc>
          <w:tcPr>
            <w:tcW w:type="dxa" w:w="1224"/>
            <w:vAlign w:val="center"/>
            <w:shd w:fill="F7F9FB"/>
          </w:tcPr>
          <w:p>
            <w:r/>
            <w:r>
              <w:rPr>
                <w:rFonts w:ascii="Arial" w:hAnsi="Arial"/>
                <w:b w:val="0"/>
                <w:color w:val="26323F"/>
                <w:sz w:val="13"/>
              </w:rPr>
              <w:t>35.000 €</w:t>
            </w:r>
          </w:p>
        </w:tc>
        <w:tc>
          <w:tcPr>
            <w:tcW w:type="dxa" w:w="648"/>
            <w:vAlign w:val="center"/>
            <w:shd w:fill="F7F9FB"/>
          </w:tcPr>
          <w:p>
            <w:r/>
            <w:r>
              <w:rPr>
                <w:rFonts w:ascii="Arial" w:hAnsi="Arial"/>
                <w:b w:val="0"/>
                <w:color w:val="26323F"/>
                <w:sz w:val="13"/>
              </w:rPr>
              <w:t>70%</w:t>
            </w:r>
          </w:p>
        </w:tc>
        <w:tc>
          <w:tcPr>
            <w:tcW w:type="dxa" w:w="1224"/>
            <w:vAlign w:val="center"/>
            <w:shd w:fill="F7F9FB"/>
          </w:tcPr>
          <w:p>
            <w:r/>
            <w:r>
              <w:rPr>
                <w:rFonts w:ascii="Arial" w:hAnsi="Arial"/>
                <w:b w:val="0"/>
                <w:color w:val="26323F"/>
                <w:sz w:val="13"/>
              </w:rPr>
              <w:t>24.500 €</w:t>
            </w:r>
          </w:p>
        </w:tc>
        <w:tc>
          <w:tcPr>
            <w:tcW w:type="dxa" w:w="648"/>
            <w:vAlign w:val="center"/>
            <w:shd w:fill="F7F9FB"/>
          </w:tcPr>
          <w:p>
            <w:r/>
            <w:r>
              <w:rPr>
                <w:rFonts w:ascii="Arial" w:hAnsi="Arial"/>
                <w:b w:val="0"/>
                <w:color w:val="26323F"/>
                <w:sz w:val="13"/>
              </w:rPr>
              <w:t>62%</w:t>
            </w:r>
          </w:p>
        </w:tc>
        <w:tc>
          <w:tcPr>
            <w:tcW w:type="dxa" w:w="2592"/>
            <w:vAlign w:val="center"/>
            <w:shd w:fill="F7F9FB"/>
          </w:tcPr>
          <w:p>
            <w:r/>
            <w:r>
              <w:rPr>
                <w:rFonts w:ascii="Arial" w:hAnsi="Arial"/>
                <w:b w:val="0"/>
                <w:color w:val="26323F"/>
                <w:sz w:val="13"/>
              </w:rPr>
              <w:t>Cuadrillas y operarios validados</w:t>
            </w:r>
          </w:p>
        </w:tc>
        <w:tc>
          <w:tcPr>
            <w:tcW w:type="dxa" w:w="2016"/>
            <w:vAlign w:val="center"/>
            <w:shd w:fill="F7F9FB"/>
          </w:tcPr>
          <w:p>
            <w:r/>
            <w:r>
              <w:rPr>
                <w:rFonts w:ascii="Arial" w:hAnsi="Arial"/>
                <w:b w:val="0"/>
                <w:color w:val="26323F"/>
                <w:sz w:val="13"/>
              </w:rPr>
              <w:t>Reducir a Crew Starter</w:t>
            </w:r>
          </w:p>
        </w:tc>
      </w:tr>
      <w:tr>
        <w:tc>
          <w:tcPr>
            <w:tcW w:type="dxa" w:w="2448"/>
            <w:vAlign w:val="center"/>
          </w:tcPr>
          <w:p>
            <w:r/>
            <w:r>
              <w:rPr>
                <w:rFonts w:ascii="Arial" w:hAnsi="Arial"/>
                <w:b w:val="0"/>
                <w:color w:val="26323F"/>
                <w:sz w:val="13"/>
              </w:rPr>
              <w:t>Fee de Red Fabricante - 52.000 m²</w:t>
            </w:r>
          </w:p>
        </w:tc>
        <w:tc>
          <w:tcPr>
            <w:tcW w:type="dxa" w:w="1224"/>
            <w:vAlign w:val="center"/>
          </w:tcPr>
          <w:p>
            <w:r/>
            <w:r>
              <w:rPr>
                <w:rFonts w:ascii="Arial" w:hAnsi="Arial"/>
                <w:b w:val="0"/>
                <w:color w:val="26323F"/>
                <w:sz w:val="13"/>
              </w:rPr>
              <w:t>130.000 €</w:t>
            </w:r>
          </w:p>
        </w:tc>
        <w:tc>
          <w:tcPr>
            <w:tcW w:type="dxa" w:w="648"/>
            <w:vAlign w:val="center"/>
          </w:tcPr>
          <w:p>
            <w:r/>
            <w:r>
              <w:rPr>
                <w:rFonts w:ascii="Arial" w:hAnsi="Arial"/>
                <w:b w:val="0"/>
                <w:color w:val="26323F"/>
                <w:sz w:val="13"/>
              </w:rPr>
              <w:t>70%</w:t>
            </w:r>
          </w:p>
        </w:tc>
        <w:tc>
          <w:tcPr>
            <w:tcW w:type="dxa" w:w="1224"/>
            <w:vAlign w:val="center"/>
          </w:tcPr>
          <w:p>
            <w:r/>
            <w:r>
              <w:rPr>
                <w:rFonts w:ascii="Arial" w:hAnsi="Arial"/>
                <w:b w:val="0"/>
                <w:color w:val="26323F"/>
                <w:sz w:val="13"/>
              </w:rPr>
              <w:t>91.000 €</w:t>
            </w:r>
          </w:p>
        </w:tc>
        <w:tc>
          <w:tcPr>
            <w:tcW w:type="dxa" w:w="648"/>
            <w:vAlign w:val="center"/>
          </w:tcPr>
          <w:p>
            <w:r/>
            <w:r>
              <w:rPr>
                <w:rFonts w:ascii="Arial" w:hAnsi="Arial"/>
                <w:b w:val="0"/>
                <w:color w:val="26323F"/>
                <w:sz w:val="13"/>
              </w:rPr>
              <w:t>86%</w:t>
            </w:r>
          </w:p>
        </w:tc>
        <w:tc>
          <w:tcPr>
            <w:tcW w:type="dxa" w:w="2592"/>
            <w:vAlign w:val="center"/>
          </w:tcPr>
          <w:p>
            <w:r/>
            <w:r>
              <w:rPr>
                <w:rFonts w:ascii="Arial" w:hAnsi="Arial"/>
                <w:b w:val="0"/>
                <w:color w:val="26323F"/>
                <w:sz w:val="13"/>
              </w:rPr>
              <w:t>m² fabricados verificados</w:t>
            </w:r>
          </w:p>
        </w:tc>
        <w:tc>
          <w:tcPr>
            <w:tcW w:type="dxa" w:w="2016"/>
            <w:vAlign w:val="center"/>
          </w:tcPr>
          <w:p>
            <w:r/>
            <w:r>
              <w:rPr>
                <w:rFonts w:ascii="Arial" w:hAnsi="Arial"/>
                <w:b w:val="0"/>
                <w:color w:val="26323F"/>
                <w:sz w:val="13"/>
              </w:rPr>
              <w:t>Facturar solo m² verificados</w:t>
            </w:r>
          </w:p>
        </w:tc>
      </w:tr>
      <w:tr>
        <w:tc>
          <w:tcPr>
            <w:tcW w:type="dxa" w:w="2448"/>
            <w:vAlign w:val="center"/>
            <w:shd w:fill="F7F9FB"/>
          </w:tcPr>
          <w:p>
            <w:r/>
            <w:r>
              <w:rPr>
                <w:rFonts w:ascii="Arial" w:hAnsi="Arial"/>
                <w:b w:val="0"/>
                <w:color w:val="26323F"/>
                <w:sz w:val="13"/>
              </w:rPr>
              <w:t>Fee de Red Montaje - 52.000 m²</w:t>
            </w:r>
          </w:p>
        </w:tc>
        <w:tc>
          <w:tcPr>
            <w:tcW w:type="dxa" w:w="1224"/>
            <w:vAlign w:val="center"/>
            <w:shd w:fill="F7F9FB"/>
          </w:tcPr>
          <w:p>
            <w:r/>
            <w:r>
              <w:rPr>
                <w:rFonts w:ascii="Arial" w:hAnsi="Arial"/>
                <w:b w:val="0"/>
                <w:color w:val="26323F"/>
                <w:sz w:val="13"/>
              </w:rPr>
              <w:t>130.000 €</w:t>
            </w:r>
          </w:p>
        </w:tc>
        <w:tc>
          <w:tcPr>
            <w:tcW w:type="dxa" w:w="648"/>
            <w:vAlign w:val="center"/>
            <w:shd w:fill="F7F9FB"/>
          </w:tcPr>
          <w:p>
            <w:r/>
            <w:r>
              <w:rPr>
                <w:rFonts w:ascii="Arial" w:hAnsi="Arial"/>
                <w:b w:val="0"/>
                <w:color w:val="26323F"/>
                <w:sz w:val="13"/>
              </w:rPr>
              <w:t>70%</w:t>
            </w:r>
          </w:p>
        </w:tc>
        <w:tc>
          <w:tcPr>
            <w:tcW w:type="dxa" w:w="1224"/>
            <w:vAlign w:val="center"/>
            <w:shd w:fill="F7F9FB"/>
          </w:tcPr>
          <w:p>
            <w:r/>
            <w:r>
              <w:rPr>
                <w:rFonts w:ascii="Arial" w:hAnsi="Arial"/>
                <w:b w:val="0"/>
                <w:color w:val="26323F"/>
                <w:sz w:val="13"/>
              </w:rPr>
              <w:t>91.000 €</w:t>
            </w:r>
          </w:p>
        </w:tc>
        <w:tc>
          <w:tcPr>
            <w:tcW w:type="dxa" w:w="648"/>
            <w:vAlign w:val="center"/>
            <w:shd w:fill="F7F9FB"/>
          </w:tcPr>
          <w:p>
            <w:r/>
            <w:r>
              <w:rPr>
                <w:rFonts w:ascii="Arial" w:hAnsi="Arial"/>
                <w:b w:val="0"/>
                <w:color w:val="26323F"/>
                <w:sz w:val="13"/>
              </w:rPr>
              <w:t>84%</w:t>
            </w:r>
          </w:p>
        </w:tc>
        <w:tc>
          <w:tcPr>
            <w:tcW w:type="dxa" w:w="2592"/>
            <w:vAlign w:val="center"/>
            <w:shd w:fill="F7F9FB"/>
          </w:tcPr>
          <w:p>
            <w:r/>
            <w:r>
              <w:rPr>
                <w:rFonts w:ascii="Arial" w:hAnsi="Arial"/>
                <w:b w:val="0"/>
                <w:color w:val="26323F"/>
                <w:sz w:val="13"/>
              </w:rPr>
              <w:t>m² instalados verificados</w:t>
            </w:r>
          </w:p>
        </w:tc>
        <w:tc>
          <w:tcPr>
            <w:tcW w:type="dxa" w:w="2016"/>
            <w:vAlign w:val="center"/>
            <w:shd w:fill="F7F9FB"/>
          </w:tcPr>
          <w:p>
            <w:r/>
            <w:r>
              <w:rPr>
                <w:rFonts w:ascii="Arial" w:hAnsi="Arial"/>
                <w:b w:val="0"/>
                <w:color w:val="26323F"/>
                <w:sz w:val="13"/>
              </w:rPr>
              <w:t>Facturar solo m² verificados</w:t>
            </w:r>
          </w:p>
        </w:tc>
      </w:tr>
      <w:tr>
        <w:tc>
          <w:tcPr>
            <w:tcW w:type="dxa" w:w="2448"/>
            <w:vAlign w:val="center"/>
          </w:tcPr>
          <w:p>
            <w:r/>
            <w:r>
              <w:rPr>
                <w:rFonts w:ascii="Arial" w:hAnsi="Arial"/>
                <w:b w:val="0"/>
                <w:color w:val="26323F"/>
                <w:sz w:val="13"/>
              </w:rPr>
              <w:t>KIWA/RMOOB - proyecto único</w:t>
            </w:r>
          </w:p>
        </w:tc>
        <w:tc>
          <w:tcPr>
            <w:tcW w:type="dxa" w:w="1224"/>
            <w:vAlign w:val="center"/>
          </w:tcPr>
          <w:p>
            <w:r/>
            <w:r>
              <w:rPr>
                <w:rFonts w:ascii="Arial" w:hAnsi="Arial"/>
                <w:b w:val="0"/>
                <w:color w:val="26323F"/>
                <w:sz w:val="13"/>
              </w:rPr>
              <w:t>400.000 €</w:t>
            </w:r>
          </w:p>
        </w:tc>
        <w:tc>
          <w:tcPr>
            <w:tcW w:type="dxa" w:w="648"/>
            <w:vAlign w:val="center"/>
          </w:tcPr>
          <w:p>
            <w:r/>
            <w:r>
              <w:rPr>
                <w:rFonts w:ascii="Arial" w:hAnsi="Arial"/>
                <w:b w:val="0"/>
                <w:color w:val="26323F"/>
                <w:sz w:val="13"/>
              </w:rPr>
              <w:t>50%</w:t>
            </w:r>
          </w:p>
        </w:tc>
        <w:tc>
          <w:tcPr>
            <w:tcW w:type="dxa" w:w="1224"/>
            <w:vAlign w:val="center"/>
          </w:tcPr>
          <w:p>
            <w:r/>
            <w:r>
              <w:rPr>
                <w:rFonts w:ascii="Arial" w:hAnsi="Arial"/>
                <w:b w:val="0"/>
                <w:color w:val="26323F"/>
                <w:sz w:val="13"/>
              </w:rPr>
              <w:t>200.000 €</w:t>
            </w:r>
          </w:p>
        </w:tc>
        <w:tc>
          <w:tcPr>
            <w:tcW w:type="dxa" w:w="648"/>
            <w:vAlign w:val="center"/>
          </w:tcPr>
          <w:p>
            <w:r/>
            <w:r>
              <w:rPr>
                <w:rFonts w:ascii="Arial" w:hAnsi="Arial"/>
                <w:b w:val="0"/>
                <w:color w:val="26323F"/>
                <w:sz w:val="13"/>
              </w:rPr>
              <w:t>55%</w:t>
            </w:r>
          </w:p>
        </w:tc>
        <w:tc>
          <w:tcPr>
            <w:tcW w:type="dxa" w:w="2592"/>
            <w:vAlign w:val="center"/>
          </w:tcPr>
          <w:p>
            <w:r/>
            <w:r>
              <w:rPr>
                <w:rFonts w:ascii="Arial" w:hAnsi="Arial"/>
                <w:b w:val="0"/>
                <w:color w:val="26323F"/>
                <w:sz w:val="13"/>
              </w:rPr>
              <w:t>Contrato + alcance + hitos</w:t>
            </w:r>
          </w:p>
        </w:tc>
        <w:tc>
          <w:tcPr>
            <w:tcW w:type="dxa" w:w="2016"/>
            <w:vAlign w:val="center"/>
          </w:tcPr>
          <w:p>
            <w:r/>
            <w:r>
              <w:rPr>
                <w:rFonts w:ascii="Arial" w:hAnsi="Arial"/>
                <w:b w:val="0"/>
                <w:color w:val="26323F"/>
                <w:sz w:val="13"/>
              </w:rPr>
              <w:t>No reconocer sin firma</w:t>
            </w:r>
          </w:p>
        </w:tc>
      </w:tr>
      <w:tr>
        <w:tc>
          <w:tcPr>
            <w:tcW w:type="dxa" w:w="2448"/>
            <w:vAlign w:val="center"/>
            <w:shd w:fill="F7F9FB"/>
          </w:tcPr>
          <w:p>
            <w:r/>
            <w:r>
              <w:rPr>
                <w:rFonts w:ascii="Arial" w:hAnsi="Arial"/>
                <w:b w:val="0"/>
                <w:color w:val="26323F"/>
                <w:sz w:val="13"/>
              </w:rPr>
              <w:t>Moolde / Plastic People / Calaf</w:t>
            </w:r>
          </w:p>
        </w:tc>
        <w:tc>
          <w:tcPr>
            <w:tcW w:type="dxa" w:w="1224"/>
            <w:vAlign w:val="center"/>
            <w:shd w:fill="F7F9FB"/>
          </w:tcPr>
          <w:p>
            <w:r/>
            <w:r>
              <w:rPr>
                <w:rFonts w:ascii="Arial" w:hAnsi="Arial"/>
                <w:b w:val="0"/>
                <w:color w:val="26323F"/>
                <w:sz w:val="13"/>
              </w:rPr>
              <w:t>90.000 €</w:t>
            </w:r>
          </w:p>
        </w:tc>
        <w:tc>
          <w:tcPr>
            <w:tcW w:type="dxa" w:w="648"/>
            <w:vAlign w:val="center"/>
            <w:shd w:fill="F7F9FB"/>
          </w:tcPr>
          <w:p>
            <w:r/>
            <w:r>
              <w:rPr>
                <w:rFonts w:ascii="Arial" w:hAnsi="Arial"/>
                <w:b w:val="0"/>
                <w:color w:val="26323F"/>
                <w:sz w:val="13"/>
              </w:rPr>
              <w:t>45%</w:t>
            </w:r>
          </w:p>
        </w:tc>
        <w:tc>
          <w:tcPr>
            <w:tcW w:type="dxa" w:w="1224"/>
            <w:vAlign w:val="center"/>
            <w:shd w:fill="F7F9FB"/>
          </w:tcPr>
          <w:p>
            <w:r/>
            <w:r>
              <w:rPr>
                <w:rFonts w:ascii="Arial" w:hAnsi="Arial"/>
                <w:b w:val="0"/>
                <w:color w:val="26323F"/>
                <w:sz w:val="13"/>
              </w:rPr>
              <w:t>40.500 €</w:t>
            </w:r>
          </w:p>
        </w:tc>
        <w:tc>
          <w:tcPr>
            <w:tcW w:type="dxa" w:w="648"/>
            <w:vAlign w:val="center"/>
            <w:shd w:fill="F7F9FB"/>
          </w:tcPr>
          <w:p>
            <w:r/>
            <w:r>
              <w:rPr>
                <w:rFonts w:ascii="Arial" w:hAnsi="Arial"/>
                <w:b w:val="0"/>
                <w:color w:val="26323F"/>
                <w:sz w:val="13"/>
              </w:rPr>
              <w:t>40%</w:t>
            </w:r>
          </w:p>
        </w:tc>
        <w:tc>
          <w:tcPr>
            <w:tcW w:type="dxa" w:w="2592"/>
            <w:vAlign w:val="center"/>
            <w:shd w:fill="F7F9FB"/>
          </w:tcPr>
          <w:p>
            <w:r/>
            <w:r>
              <w:rPr>
                <w:rFonts w:ascii="Arial" w:hAnsi="Arial"/>
                <w:b w:val="0"/>
                <w:color w:val="26323F"/>
                <w:sz w:val="13"/>
              </w:rPr>
              <w:t>Cofinanciación + presupuesto</w:t>
            </w:r>
          </w:p>
        </w:tc>
        <w:tc>
          <w:tcPr>
            <w:tcW w:type="dxa" w:w="2016"/>
            <w:vAlign w:val="center"/>
            <w:shd w:fill="F7F9FB"/>
          </w:tcPr>
          <w:p>
            <w:r/>
            <w:r>
              <w:rPr>
                <w:rFonts w:ascii="Arial" w:hAnsi="Arial"/>
                <w:b w:val="0"/>
                <w:color w:val="26323F"/>
                <w:sz w:val="13"/>
              </w:rPr>
              <w:t>Evitar piloto gratuito</w:t>
            </w:r>
          </w:p>
        </w:tc>
      </w:tr>
      <w:tr>
        <w:tc>
          <w:tcPr>
            <w:tcW w:type="dxa" w:w="2448"/>
            <w:vAlign w:val="center"/>
          </w:tcPr>
          <w:p>
            <w:r/>
            <w:r>
              <w:rPr>
                <w:rFonts w:ascii="Arial" w:hAnsi="Arial"/>
                <w:b w:val="0"/>
                <w:color w:val="26323F"/>
                <w:sz w:val="13"/>
              </w:rPr>
              <w:t>Marsam / marcas producto</w:t>
            </w:r>
          </w:p>
        </w:tc>
        <w:tc>
          <w:tcPr>
            <w:tcW w:type="dxa" w:w="1224"/>
            <w:vAlign w:val="center"/>
          </w:tcPr>
          <w:p>
            <w:r/>
            <w:r>
              <w:rPr>
                <w:rFonts w:ascii="Arial" w:hAnsi="Arial"/>
                <w:b w:val="0"/>
                <w:color w:val="26323F"/>
                <w:sz w:val="13"/>
              </w:rPr>
              <w:t>40.000 €</w:t>
            </w:r>
          </w:p>
        </w:tc>
        <w:tc>
          <w:tcPr>
            <w:tcW w:type="dxa" w:w="648"/>
            <w:vAlign w:val="center"/>
          </w:tcPr>
          <w:p>
            <w:r/>
            <w:r>
              <w:rPr>
                <w:rFonts w:ascii="Arial" w:hAnsi="Arial"/>
                <w:b w:val="0"/>
                <w:color w:val="26323F"/>
                <w:sz w:val="13"/>
              </w:rPr>
              <w:t>45%</w:t>
            </w:r>
          </w:p>
        </w:tc>
        <w:tc>
          <w:tcPr>
            <w:tcW w:type="dxa" w:w="1224"/>
            <w:vAlign w:val="center"/>
          </w:tcPr>
          <w:p>
            <w:r/>
            <w:r>
              <w:rPr>
                <w:rFonts w:ascii="Arial" w:hAnsi="Arial"/>
                <w:b w:val="0"/>
                <w:color w:val="26323F"/>
                <w:sz w:val="13"/>
              </w:rPr>
              <w:t>18.000 €</w:t>
            </w:r>
          </w:p>
        </w:tc>
        <w:tc>
          <w:tcPr>
            <w:tcW w:type="dxa" w:w="648"/>
            <w:vAlign w:val="center"/>
          </w:tcPr>
          <w:p>
            <w:r/>
            <w:r>
              <w:rPr>
                <w:rFonts w:ascii="Arial" w:hAnsi="Arial"/>
                <w:b w:val="0"/>
                <w:color w:val="26323F"/>
                <w:sz w:val="13"/>
              </w:rPr>
              <w:t>55%</w:t>
            </w:r>
          </w:p>
        </w:tc>
        <w:tc>
          <w:tcPr>
            <w:tcW w:type="dxa" w:w="2592"/>
            <w:vAlign w:val="center"/>
          </w:tcPr>
          <w:p>
            <w:r/>
            <w:r>
              <w:rPr>
                <w:rFonts w:ascii="Arial" w:hAnsi="Arial"/>
                <w:b w:val="0"/>
                <w:color w:val="26323F"/>
                <w:sz w:val="13"/>
              </w:rPr>
              <w:t>Oferta aceptada</w:t>
            </w:r>
          </w:p>
        </w:tc>
        <w:tc>
          <w:tcPr>
            <w:tcW w:type="dxa" w:w="2016"/>
            <w:vAlign w:val="center"/>
          </w:tcPr>
          <w:p>
            <w:r/>
            <w:r>
              <w:rPr>
                <w:rFonts w:ascii="Arial" w:hAnsi="Arial"/>
                <w:b w:val="0"/>
                <w:color w:val="26323F"/>
                <w:sz w:val="13"/>
              </w:rPr>
              <w:t>Paquetizar prototipo</w:t>
            </w:r>
          </w:p>
        </w:tc>
      </w:tr>
      <w:tr>
        <w:tc>
          <w:tcPr>
            <w:tcW w:type="dxa" w:w="2448"/>
            <w:vAlign w:val="center"/>
            <w:shd w:fill="F7F9FB"/>
          </w:tcPr>
          <w:p>
            <w:r/>
            <w:r>
              <w:rPr>
                <w:rFonts w:ascii="Arial" w:hAnsi="Arial"/>
                <w:b w:val="0"/>
                <w:color w:val="26323F"/>
                <w:sz w:val="13"/>
              </w:rPr>
              <w:t>SaaS / POI / DPP recurrente</w:t>
            </w:r>
          </w:p>
        </w:tc>
        <w:tc>
          <w:tcPr>
            <w:tcW w:type="dxa" w:w="1224"/>
            <w:vAlign w:val="center"/>
            <w:shd w:fill="F7F9FB"/>
          </w:tcPr>
          <w:p>
            <w:r/>
            <w:r>
              <w:rPr>
                <w:rFonts w:ascii="Arial" w:hAnsi="Arial"/>
                <w:b w:val="0"/>
                <w:color w:val="26323F"/>
                <w:sz w:val="13"/>
              </w:rPr>
              <w:t>60.000 €</w:t>
            </w:r>
          </w:p>
        </w:tc>
        <w:tc>
          <w:tcPr>
            <w:tcW w:type="dxa" w:w="648"/>
            <w:vAlign w:val="center"/>
            <w:shd w:fill="F7F9FB"/>
          </w:tcPr>
          <w:p>
            <w:r/>
            <w:r>
              <w:rPr>
                <w:rFonts w:ascii="Arial" w:hAnsi="Arial"/>
                <w:b w:val="0"/>
                <w:color w:val="26323F"/>
                <w:sz w:val="13"/>
              </w:rPr>
              <w:t>60%</w:t>
            </w:r>
          </w:p>
        </w:tc>
        <w:tc>
          <w:tcPr>
            <w:tcW w:type="dxa" w:w="1224"/>
            <w:vAlign w:val="center"/>
            <w:shd w:fill="F7F9FB"/>
          </w:tcPr>
          <w:p>
            <w:r/>
            <w:r>
              <w:rPr>
                <w:rFonts w:ascii="Arial" w:hAnsi="Arial"/>
                <w:b w:val="0"/>
                <w:color w:val="26323F"/>
                <w:sz w:val="13"/>
              </w:rPr>
              <w:t>36.000 €</w:t>
            </w:r>
          </w:p>
        </w:tc>
        <w:tc>
          <w:tcPr>
            <w:tcW w:type="dxa" w:w="648"/>
            <w:vAlign w:val="center"/>
            <w:shd w:fill="F7F9FB"/>
          </w:tcPr>
          <w:p>
            <w:r/>
            <w:r>
              <w:rPr>
                <w:rFonts w:ascii="Arial" w:hAnsi="Arial"/>
                <w:b w:val="0"/>
                <w:color w:val="26323F"/>
                <w:sz w:val="13"/>
              </w:rPr>
              <w:t>75%</w:t>
            </w:r>
          </w:p>
        </w:tc>
        <w:tc>
          <w:tcPr>
            <w:tcW w:type="dxa" w:w="2592"/>
            <w:vAlign w:val="center"/>
            <w:shd w:fill="F7F9FB"/>
          </w:tcPr>
          <w:p>
            <w:r/>
            <w:r>
              <w:rPr>
                <w:rFonts w:ascii="Arial" w:hAnsi="Arial"/>
                <w:b w:val="0"/>
                <w:color w:val="26323F"/>
                <w:sz w:val="13"/>
              </w:rPr>
              <w:t>Contrato activo + uso</w:t>
            </w:r>
          </w:p>
        </w:tc>
        <w:tc>
          <w:tcPr>
            <w:tcW w:type="dxa" w:w="2016"/>
            <w:vAlign w:val="center"/>
            <w:shd w:fill="F7F9FB"/>
          </w:tcPr>
          <w:p>
            <w:r/>
            <w:r>
              <w:rPr>
                <w:rFonts w:ascii="Arial" w:hAnsi="Arial"/>
                <w:b w:val="0"/>
                <w:color w:val="26323F"/>
                <w:sz w:val="13"/>
              </w:rPr>
              <w:t>Reducir alcance a MVP vendible</w:t>
            </w:r>
          </w:p>
        </w:tc>
      </w:tr>
    </w:tbl>
    <w:p/>
    <w:tbl>
      <w:tblPr>
        <w:tblStyle w:val="TableGrid"/>
        <w:tblW w:type="auto" w:w="0"/>
        <w:tblLook w:firstColumn="1" w:firstRow="1" w:lastColumn="0" w:lastRow="0" w:noHBand="0" w:noVBand="1" w:val="04A0"/>
      </w:tblPr>
      <w:tblGrid>
        <w:gridCol w:w="2592"/>
        <w:gridCol w:w="2592"/>
        <w:gridCol w:w="2592"/>
        <w:gridCol w:w="2592"/>
      </w:tblGrid>
      <w:tr>
        <w:tc>
          <w:tcPr>
            <w:tcW w:type="dxa" w:w="2088"/>
            <w:vAlign w:val="center"/>
            <w:shd w:fill="0B1F33"/>
          </w:tcPr>
          <w:p>
            <w:r/>
            <w:r>
              <w:rPr>
                <w:rFonts w:ascii="Arial" w:hAnsi="Arial"/>
                <w:b/>
                <w:color w:val="FFFFFF"/>
                <w:sz w:val="16"/>
              </w:rPr>
              <w:t>KPI plan 300K</w:t>
            </w:r>
          </w:p>
        </w:tc>
        <w:tc>
          <w:tcPr>
            <w:tcW w:type="dxa" w:w="1872"/>
            <w:vAlign w:val="center"/>
            <w:shd w:fill="0B1F33"/>
          </w:tcPr>
          <w:p>
            <w:r/>
            <w:r>
              <w:rPr>
                <w:rFonts w:ascii="Arial" w:hAnsi="Arial"/>
                <w:b/>
                <w:color w:val="FFFFFF"/>
                <w:sz w:val="16"/>
              </w:rPr>
              <w:t>Management case</w:t>
            </w:r>
          </w:p>
        </w:tc>
        <w:tc>
          <w:tcPr>
            <w:tcW w:type="dxa" w:w="1872"/>
            <w:vAlign w:val="center"/>
            <w:shd w:fill="0B1F33"/>
          </w:tcPr>
          <w:p>
            <w:r/>
            <w:r>
              <w:rPr>
                <w:rFonts w:ascii="Arial" w:hAnsi="Arial"/>
                <w:b/>
                <w:color w:val="FFFFFF"/>
                <w:sz w:val="16"/>
              </w:rPr>
              <w:t>Ponderado</w:t>
            </w:r>
          </w:p>
        </w:tc>
        <w:tc>
          <w:tcPr>
            <w:tcW w:type="dxa" w:w="3744"/>
            <w:vAlign w:val="center"/>
            <w:shd w:fill="0B1F33"/>
          </w:tcPr>
          <w:p>
            <w:r/>
            <w:r>
              <w:rPr>
                <w:rFonts w:ascii="Arial" w:hAnsi="Arial"/>
                <w:b/>
                <w:color w:val="FFFFFF"/>
                <w:sz w:val="16"/>
              </w:rPr>
              <w:t>Lectura</w:t>
            </w:r>
          </w:p>
        </w:tc>
      </w:tr>
      <w:tr>
        <w:tc>
          <w:tcPr>
            <w:tcW w:type="dxa" w:w="2088"/>
            <w:vAlign w:val="center"/>
            <w:shd w:fill="F7F9FB"/>
          </w:tcPr>
          <w:p>
            <w:r/>
            <w:r>
              <w:rPr>
                <w:rFonts w:ascii="Arial" w:hAnsi="Arial"/>
                <w:b w:val="0"/>
                <w:color w:val="26323F"/>
                <w:sz w:val="16"/>
              </w:rPr>
              <w:t>Ingresos 2027</w:t>
            </w:r>
          </w:p>
        </w:tc>
        <w:tc>
          <w:tcPr>
            <w:tcW w:type="dxa" w:w="1872"/>
            <w:vAlign w:val="center"/>
            <w:shd w:fill="F7F9FB"/>
          </w:tcPr>
          <w:p>
            <w:r/>
            <w:r>
              <w:rPr>
                <w:rFonts w:ascii="Arial" w:hAnsi="Arial"/>
                <w:b w:val="0"/>
                <w:color w:val="26323F"/>
                <w:sz w:val="16"/>
              </w:rPr>
              <w:t>1.670.000 €</w:t>
            </w:r>
          </w:p>
        </w:tc>
        <w:tc>
          <w:tcPr>
            <w:tcW w:type="dxa" w:w="1872"/>
            <w:vAlign w:val="center"/>
            <w:shd w:fill="F7F9FB"/>
          </w:tcPr>
          <w:p>
            <w:r/>
            <w:r>
              <w:rPr>
                <w:rFonts w:ascii="Arial" w:hAnsi="Arial"/>
                <w:b w:val="0"/>
                <w:color w:val="26323F"/>
                <w:sz w:val="16"/>
              </w:rPr>
              <w:t>1.104.000 €</w:t>
            </w:r>
          </w:p>
        </w:tc>
        <w:tc>
          <w:tcPr>
            <w:tcW w:type="dxa" w:w="3744"/>
            <w:vAlign w:val="center"/>
            <w:shd w:fill="F7F9FB"/>
          </w:tcPr>
          <w:p>
            <w:r/>
            <w:r>
              <w:rPr>
                <w:rFonts w:ascii="Arial" w:hAnsi="Arial"/>
                <w:b w:val="0"/>
                <w:color w:val="26323F"/>
                <w:sz w:val="16"/>
              </w:rPr>
              <w:t>Pipeline base frente a probabilidad por proyecto.</w:t>
            </w:r>
          </w:p>
        </w:tc>
      </w:tr>
      <w:tr>
        <w:tc>
          <w:tcPr>
            <w:tcW w:type="dxa" w:w="2088"/>
            <w:vAlign w:val="center"/>
          </w:tcPr>
          <w:p>
            <w:r/>
            <w:r>
              <w:rPr>
                <w:rFonts w:ascii="Arial" w:hAnsi="Arial"/>
                <w:b w:val="0"/>
                <w:color w:val="26323F"/>
                <w:sz w:val="16"/>
              </w:rPr>
              <w:t>EBITDA 2027</w:t>
            </w:r>
          </w:p>
        </w:tc>
        <w:tc>
          <w:tcPr>
            <w:tcW w:type="dxa" w:w="1872"/>
            <w:vAlign w:val="center"/>
          </w:tcPr>
          <w:p>
            <w:r/>
            <w:r>
              <w:rPr>
                <w:rFonts w:ascii="Arial" w:hAnsi="Arial"/>
                <w:b w:val="0"/>
                <w:color w:val="26323F"/>
                <w:sz w:val="16"/>
              </w:rPr>
              <w:t>313.999 €</w:t>
            </w:r>
          </w:p>
        </w:tc>
        <w:tc>
          <w:tcPr>
            <w:tcW w:type="dxa" w:w="1872"/>
            <w:vAlign w:val="center"/>
          </w:tcPr>
          <w:p>
            <w:r/>
            <w:r>
              <w:rPr>
                <w:rFonts w:ascii="Arial" w:hAnsi="Arial"/>
                <w:b w:val="0"/>
                <w:color w:val="26323F"/>
                <w:sz w:val="16"/>
              </w:rPr>
              <w:t>11.039 €</w:t>
            </w:r>
          </w:p>
        </w:tc>
        <w:tc>
          <w:tcPr>
            <w:tcW w:type="dxa" w:w="3744"/>
            <w:vAlign w:val="center"/>
          </w:tcPr>
          <w:p>
            <w:r/>
            <w:r>
              <w:rPr>
                <w:rFonts w:ascii="Arial" w:hAnsi="Arial"/>
                <w:b w:val="0"/>
                <w:color w:val="26323F"/>
                <w:sz w:val="16"/>
              </w:rPr>
              <w:t>La lectura ponderada exige disciplina de caja y contratación por gates.</w:t>
            </w:r>
          </w:p>
        </w:tc>
      </w:tr>
      <w:tr>
        <w:tc>
          <w:tcPr>
            <w:tcW w:type="dxa" w:w="2088"/>
            <w:vAlign w:val="center"/>
            <w:shd w:fill="F7F9FB"/>
          </w:tcPr>
          <w:p>
            <w:r/>
            <w:r>
              <w:rPr>
                <w:rFonts w:ascii="Arial" w:hAnsi="Arial"/>
                <w:b w:val="0"/>
                <w:color w:val="26323F"/>
                <w:sz w:val="16"/>
              </w:rPr>
              <w:t>Caja final 2027</w:t>
            </w:r>
          </w:p>
        </w:tc>
        <w:tc>
          <w:tcPr>
            <w:tcW w:type="dxa" w:w="1872"/>
            <w:vAlign w:val="center"/>
            <w:shd w:fill="F7F9FB"/>
          </w:tcPr>
          <w:p>
            <w:r/>
            <w:r>
              <w:rPr>
                <w:rFonts w:ascii="Arial" w:hAnsi="Arial"/>
                <w:b w:val="0"/>
                <w:color w:val="26323F"/>
                <w:sz w:val="16"/>
              </w:rPr>
              <w:t>327.599 €</w:t>
            </w:r>
          </w:p>
        </w:tc>
        <w:tc>
          <w:tcPr>
            <w:tcW w:type="dxa" w:w="1872"/>
            <w:vAlign w:val="center"/>
            <w:shd w:fill="F7F9FB"/>
          </w:tcPr>
          <w:p>
            <w:r/>
            <w:r>
              <w:rPr>
                <w:rFonts w:ascii="Arial" w:hAnsi="Arial"/>
                <w:b w:val="0"/>
                <w:color w:val="26323F"/>
                <w:sz w:val="16"/>
              </w:rPr>
              <w:t>24.639 €</w:t>
            </w:r>
          </w:p>
        </w:tc>
        <w:tc>
          <w:tcPr>
            <w:tcW w:type="dxa" w:w="3744"/>
            <w:vAlign w:val="center"/>
            <w:shd w:fill="F7F9FB"/>
          </w:tcPr>
          <w:p>
            <w:r/>
            <w:r>
              <w:rPr>
                <w:rFonts w:ascii="Arial" w:hAnsi="Arial"/>
                <w:b w:val="0"/>
                <w:color w:val="26323F"/>
                <w:sz w:val="16"/>
              </w:rPr>
              <w:t>El plan preserva caja si los costes se activan contra cobros y contratos.</w:t>
            </w:r>
          </w:p>
        </w:tc>
      </w:tr>
    </w:tbl>
    <w:p/>
    <w:p>
      <w:pPr>
        <w:pStyle w:val="Heading2"/>
      </w:pPr>
      <w:r>
        <w:rPr>
          <w:rFonts w:ascii="Arial" w:hAnsi="Arial"/>
          <w:color w:val="0B1F33"/>
        </w:rPr>
        <w:t>9.1. Secuencia comercial</w:t>
      </w:r>
    </w:p>
    <w:p>
      <w:pPr>
        <w:pStyle w:val="ListBullet"/>
        <w:spacing w:after="60"/>
      </w:pPr>
      <w:r>
        <w:rPr>
          <w:rFonts w:ascii="Arial" w:hAnsi="Arial"/>
          <w:color w:val="26323F"/>
          <w:sz w:val="19"/>
        </w:rPr>
        <w:t>Vender P0/P1/P3 con alcance y gate, no la totalidad del universo CUEVA desde la primera reunión.</w:t>
      </w:r>
    </w:p>
    <w:p>
      <w:pPr>
        <w:pStyle w:val="ListBullet"/>
        <w:spacing w:after="60"/>
      </w:pPr>
      <w:r>
        <w:rPr>
          <w:rFonts w:ascii="Arial" w:hAnsi="Arial"/>
          <w:color w:val="26323F"/>
          <w:sz w:val="19"/>
        </w:rPr>
        <w:t>Convertir cada piloto en evidencia comercial: antes/después, incidencias, tiempo, calidad, recepción y cierre documental.</w:t>
      </w:r>
    </w:p>
    <w:p>
      <w:pPr>
        <w:pStyle w:val="ListBullet"/>
        <w:spacing w:after="60"/>
      </w:pPr>
      <w:r>
        <w:rPr>
          <w:rFonts w:ascii="Arial" w:hAnsi="Arial"/>
          <w:color w:val="26323F"/>
          <w:sz w:val="19"/>
        </w:rPr>
        <w:t>Pasar de piloto a contrato anual con mínimo, y de contrato anual a licenciatario certificado.</w:t>
      </w:r>
    </w:p>
    <w:p>
      <w:pPr>
        <w:pStyle w:val="ListBullet"/>
        <w:spacing w:after="60"/>
      </w:pPr>
      <w:r>
        <w:rPr>
          <w:rFonts w:ascii="Arial" w:hAnsi="Arial"/>
          <w:color w:val="26323F"/>
          <w:sz w:val="19"/>
        </w:rPr>
        <w:t>Activar POI/DPP como condición de pago, garantía, certificación, recepción o mantenimiento.</w:t>
      </w:r>
    </w:p>
    <w:p>
      <w:pPr>
        <w:pStyle w:val="ListBullet"/>
        <w:spacing w:after="60"/>
      </w:pPr>
      <w:r>
        <w:rPr>
          <w:rFonts w:ascii="Arial" w:hAnsi="Arial"/>
          <w:color w:val="26323F"/>
          <w:sz w:val="19"/>
        </w:rPr>
        <w:t>Convertir stock vivo en mantenimiento y datos recurrentes; abrir la capa financiera solo con datos reales.</w:t>
      </w:r>
    </w:p>
    <w:p>
      <w:pPr>
        <w:pStyle w:val="Heading1"/>
      </w:pPr>
      <w:r>
        <w:rPr>
          <w:rFonts w:ascii="Arial" w:hAnsi="Arial"/>
          <w:color w:val="0B1F33"/>
        </w:rPr>
        <w:t>10. Roadmap operativo 2026-2030</w:t>
      </w:r>
    </w:p>
    <w:p>
      <w:pPr>
        <w:jc w:val="center"/>
      </w:pPr>
      <w:r>
        <w:drawing>
          <wp:inline xmlns:a="http://schemas.openxmlformats.org/drawingml/2006/main" xmlns:pic="http://schemas.openxmlformats.org/drawingml/2006/picture">
            <wp:extent cx="6355080" cy="3707130"/>
            <wp:docPr id="9" name="Picture 9"/>
            <wp:cNvGraphicFramePr>
              <a:graphicFrameLocks noChangeAspect="1"/>
            </wp:cNvGraphicFramePr>
            <a:graphic>
              <a:graphicData uri="http://schemas.openxmlformats.org/drawingml/2006/picture">
                <pic:pic>
                  <pic:nvPicPr>
                    <pic:cNvPr id="0" name="12_roadmap.png"/>
                    <pic:cNvPicPr/>
                  </pic:nvPicPr>
                  <pic:blipFill>
                    <a:blip r:embed="rId18"/>
                    <a:stretch>
                      <a:fillRect/>
                    </a:stretch>
                  </pic:blipFill>
                  <pic:spPr>
                    <a:xfrm>
                      <a:off x="0" y="0"/>
                      <a:ext cx="6355080" cy="3707130"/>
                    </a:xfrm>
                    <a:prstGeom prst="rect"/>
                  </pic:spPr>
                </pic:pic>
              </a:graphicData>
            </a:graphic>
          </wp:inline>
        </w:drawing>
      </w:r>
    </w:p>
    <w:p>
      <w:pPr>
        <w:spacing w:after="160"/>
        <w:jc w:val="center"/>
      </w:pPr>
      <w:r>
        <w:rPr>
          <w:rFonts w:ascii="Arial" w:hAnsi="Arial"/>
          <w:i/>
          <w:color w:val="667085"/>
          <w:sz w:val="17"/>
        </w:rPr>
        <w:t>Figura 7. Roadmap doble carril: plan 300K y Scale Case por gates.</w:t>
      </w:r>
    </w:p>
    <w:p>
      <w:pPr>
        <w:spacing w:line="271" w:lineRule="auto" w:after="120"/>
      </w:pPr>
      <w:r>
        <w:rPr>
          <w:rFonts w:ascii="Arial" w:hAnsi="Arial"/>
          <w:color w:val="26323F"/>
          <w:sz w:val="20"/>
        </w:rPr>
        <w:t>La arquitectura del plan evita confundir ejecución mínima con upside. El 300K compra continuidad y reducción de riesgo. El Scale Case se desbloquea con capital adicional, contratos, producto estable, partners activos, control de caja, carpeta documental y capacidad de despliegue.</w:t>
      </w:r>
    </w:p>
    <w:p>
      <w:pPr>
        <w:pStyle w:val="Heading1"/>
      </w:pPr>
      <w:r>
        <w:rPr>
          <w:rFonts w:ascii="Arial" w:hAnsi="Arial"/>
          <w:color w:val="0B1F33"/>
        </w:rPr>
        <w:t>11. Plan CUEVA Total 2030</w:t>
      </w:r>
    </w:p>
    <w:p>
      <w:pPr>
        <w:spacing w:line="271" w:lineRule="auto" w:after="120"/>
      </w:pPr>
      <w:r>
        <w:rPr>
          <w:rFonts w:ascii="Arial" w:hAnsi="Arial"/>
          <w:color w:val="26323F"/>
          <w:sz w:val="20"/>
        </w:rPr>
        <w:t>El Scale Case no prolonga linealmente el plan 300K. Exige más capital, partners, producto, organización, customer success, seguridad, soporte y volumen. En el modelo V8 validado, CUEVA alcanza 23 partners activos en 2030, 2,94M m² emitidos anuales y 6,51M m² de stock vivo.</w:t>
      </w:r>
    </w:p>
    <w:p>
      <w:pPr>
        <w:jc w:val="center"/>
      </w:pPr>
      <w:r>
        <w:drawing>
          <wp:inline xmlns:a="http://schemas.openxmlformats.org/drawingml/2006/main" xmlns:pic="http://schemas.openxmlformats.org/drawingml/2006/picture">
            <wp:extent cx="6355080" cy="3707130"/>
            <wp:docPr id="10" name="Picture 10"/>
            <wp:cNvGraphicFramePr>
              <a:graphicFrameLocks noChangeAspect="1"/>
            </wp:cNvGraphicFramePr>
            <a:graphic>
              <a:graphicData uri="http://schemas.openxmlformats.org/drawingml/2006/picture">
                <pic:pic>
                  <pic:nvPicPr>
                    <pic:cNvPr id="0" name="08_m2_stock.png"/>
                    <pic:cNvPicPr/>
                  </pic:nvPicPr>
                  <pic:blipFill>
                    <a:blip r:embed="rId19"/>
                    <a:stretch>
                      <a:fillRect/>
                    </a:stretch>
                  </pic:blipFill>
                  <pic:spPr>
                    <a:xfrm>
                      <a:off x="0" y="0"/>
                      <a:ext cx="6355080" cy="3707130"/>
                    </a:xfrm>
                    <a:prstGeom prst="rect"/>
                  </pic:spPr>
                </pic:pic>
              </a:graphicData>
            </a:graphic>
          </wp:inline>
        </w:drawing>
      </w:r>
    </w:p>
    <w:p>
      <w:pPr>
        <w:spacing w:after="160"/>
        <w:jc w:val="center"/>
      </w:pPr>
      <w:r>
        <w:rPr>
          <w:rFonts w:ascii="Arial" w:hAnsi="Arial"/>
          <w:i/>
          <w:color w:val="667085"/>
          <w:sz w:val="17"/>
        </w:rPr>
        <w:t>Figura 8. Motor volumétrico: m² emitidos y stock vivo.</w:t>
      </w:r>
    </w:p>
    <w:p>
      <w:pPr>
        <w:jc w:val="center"/>
      </w:pPr>
      <w:r>
        <w:drawing>
          <wp:inline xmlns:a="http://schemas.openxmlformats.org/drawingml/2006/main" xmlns:pic="http://schemas.openxmlformats.org/drawingml/2006/picture">
            <wp:extent cx="6355080" cy="3707130"/>
            <wp:docPr id="11" name="Picture 11"/>
            <wp:cNvGraphicFramePr>
              <a:graphicFrameLocks noChangeAspect="1"/>
            </wp:cNvGraphicFramePr>
            <a:graphic>
              <a:graphicData uri="http://schemas.openxmlformats.org/drawingml/2006/picture">
                <pic:pic>
                  <pic:nvPicPr>
                    <pic:cNvPr id="0" name="07_revenue_ebitda_2030.png"/>
                    <pic:cNvPicPr/>
                  </pic:nvPicPr>
                  <pic:blipFill>
                    <a:blip r:embed="rId20"/>
                    <a:stretch>
                      <a:fillRect/>
                    </a:stretch>
                  </pic:blipFill>
                  <pic:spPr>
                    <a:xfrm>
                      <a:off x="0" y="0"/>
                      <a:ext cx="6355080" cy="3707130"/>
                    </a:xfrm>
                    <a:prstGeom prst="rect"/>
                  </pic:spPr>
                </pic:pic>
              </a:graphicData>
            </a:graphic>
          </wp:inline>
        </w:drawing>
      </w:r>
    </w:p>
    <w:p>
      <w:pPr>
        <w:spacing w:after="160"/>
        <w:jc w:val="center"/>
      </w:pPr>
      <w:r>
        <w:rPr>
          <w:rFonts w:ascii="Arial" w:hAnsi="Arial"/>
          <w:i/>
          <w:color w:val="667085"/>
          <w:sz w:val="17"/>
        </w:rPr>
        <w:t>Figura 9. Ingresos y EBITDA 2026-2030 en Scale Case base.</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2088"/>
            <w:vAlign w:val="center"/>
            <w:shd w:fill="0B1F33"/>
          </w:tcPr>
          <w:p>
            <w:r/>
            <w:r>
              <w:rPr>
                <w:rFonts w:ascii="Arial" w:hAnsi="Arial"/>
                <w:b/>
                <w:color w:val="FFFFFF"/>
                <w:sz w:val="15"/>
              </w:rPr>
              <w:t>Concepto</w:t>
            </w:r>
          </w:p>
        </w:tc>
        <w:tc>
          <w:tcPr>
            <w:tcW w:type="dxa" w:w="1224"/>
            <w:vAlign w:val="center"/>
            <w:shd w:fill="0B1F33"/>
          </w:tcPr>
          <w:p>
            <w:r/>
            <w:r>
              <w:rPr>
                <w:rFonts w:ascii="Arial" w:hAnsi="Arial"/>
                <w:b/>
                <w:color w:val="FFFFFF"/>
                <w:sz w:val="15"/>
              </w:rPr>
              <w:t>2026</w:t>
            </w:r>
          </w:p>
        </w:tc>
        <w:tc>
          <w:tcPr>
            <w:tcW w:type="dxa" w:w="1224"/>
            <w:vAlign w:val="center"/>
            <w:shd w:fill="0B1F33"/>
          </w:tcPr>
          <w:p>
            <w:r/>
            <w:r>
              <w:rPr>
                <w:rFonts w:ascii="Arial" w:hAnsi="Arial"/>
                <w:b/>
                <w:color w:val="FFFFFF"/>
                <w:sz w:val="15"/>
              </w:rPr>
              <w:t>2027</w:t>
            </w:r>
          </w:p>
        </w:tc>
        <w:tc>
          <w:tcPr>
            <w:tcW w:type="dxa" w:w="1224"/>
            <w:vAlign w:val="center"/>
            <w:shd w:fill="0B1F33"/>
          </w:tcPr>
          <w:p>
            <w:r/>
            <w:r>
              <w:rPr>
                <w:rFonts w:ascii="Arial" w:hAnsi="Arial"/>
                <w:b/>
                <w:color w:val="FFFFFF"/>
                <w:sz w:val="15"/>
              </w:rPr>
              <w:t>2028</w:t>
            </w:r>
          </w:p>
        </w:tc>
        <w:tc>
          <w:tcPr>
            <w:tcW w:type="dxa" w:w="1224"/>
            <w:vAlign w:val="center"/>
            <w:shd w:fill="0B1F33"/>
          </w:tcPr>
          <w:p>
            <w:r/>
            <w:r>
              <w:rPr>
                <w:rFonts w:ascii="Arial" w:hAnsi="Arial"/>
                <w:b/>
                <w:color w:val="FFFFFF"/>
                <w:sz w:val="15"/>
              </w:rPr>
              <w:t>2029</w:t>
            </w:r>
          </w:p>
        </w:tc>
        <w:tc>
          <w:tcPr>
            <w:tcW w:type="dxa" w:w="1224"/>
            <w:vAlign w:val="center"/>
            <w:shd w:fill="0B1F33"/>
          </w:tcPr>
          <w:p>
            <w:r/>
            <w:r>
              <w:rPr>
                <w:rFonts w:ascii="Arial" w:hAnsi="Arial"/>
                <w:b/>
                <w:color w:val="FFFFFF"/>
                <w:sz w:val="15"/>
              </w:rPr>
              <w:t>2030</w:t>
            </w:r>
          </w:p>
        </w:tc>
      </w:tr>
      <w:tr>
        <w:tc>
          <w:tcPr>
            <w:tcW w:type="dxa" w:w="2088"/>
            <w:vAlign w:val="center"/>
            <w:shd w:fill="F7F9FB"/>
          </w:tcPr>
          <w:p>
            <w:r/>
            <w:r>
              <w:rPr>
                <w:rFonts w:ascii="Arial" w:hAnsi="Arial"/>
                <w:b w:val="0"/>
                <w:color w:val="26323F"/>
                <w:sz w:val="15"/>
              </w:rPr>
              <w:t>Ingresos totales</w:t>
            </w:r>
          </w:p>
        </w:tc>
        <w:tc>
          <w:tcPr>
            <w:tcW w:type="dxa" w:w="1224"/>
            <w:vAlign w:val="center"/>
            <w:shd w:fill="F7F9FB"/>
          </w:tcPr>
          <w:p>
            <w:r/>
            <w:r>
              <w:rPr>
                <w:rFonts w:ascii="Arial" w:hAnsi="Arial"/>
                <w:b w:val="0"/>
                <w:color w:val="26323F"/>
                <w:sz w:val="15"/>
              </w:rPr>
              <w:t>3,0 M€</w:t>
            </w:r>
          </w:p>
        </w:tc>
        <w:tc>
          <w:tcPr>
            <w:tcW w:type="dxa" w:w="1224"/>
            <w:vAlign w:val="center"/>
            <w:shd w:fill="F7F9FB"/>
          </w:tcPr>
          <w:p>
            <w:r/>
            <w:r>
              <w:rPr>
                <w:rFonts w:ascii="Arial" w:hAnsi="Arial"/>
                <w:b w:val="0"/>
                <w:color w:val="26323F"/>
                <w:sz w:val="15"/>
              </w:rPr>
              <w:t>12,7 M€</w:t>
            </w:r>
          </w:p>
        </w:tc>
        <w:tc>
          <w:tcPr>
            <w:tcW w:type="dxa" w:w="1224"/>
            <w:vAlign w:val="center"/>
            <w:shd w:fill="F7F9FB"/>
          </w:tcPr>
          <w:p>
            <w:r/>
            <w:r>
              <w:rPr>
                <w:rFonts w:ascii="Arial" w:hAnsi="Arial"/>
                <w:b w:val="0"/>
                <w:color w:val="26323F"/>
                <w:sz w:val="15"/>
              </w:rPr>
              <w:t>41,9 M€</w:t>
            </w:r>
          </w:p>
        </w:tc>
        <w:tc>
          <w:tcPr>
            <w:tcW w:type="dxa" w:w="1224"/>
            <w:vAlign w:val="center"/>
            <w:shd w:fill="F7F9FB"/>
          </w:tcPr>
          <w:p>
            <w:r/>
            <w:r>
              <w:rPr>
                <w:rFonts w:ascii="Arial" w:hAnsi="Arial"/>
                <w:b w:val="0"/>
                <w:color w:val="26323F"/>
                <w:sz w:val="15"/>
              </w:rPr>
              <w:t>92,0 M€</w:t>
            </w:r>
          </w:p>
        </w:tc>
        <w:tc>
          <w:tcPr>
            <w:tcW w:type="dxa" w:w="1224"/>
            <w:vAlign w:val="center"/>
            <w:shd w:fill="F7F9FB"/>
          </w:tcPr>
          <w:p>
            <w:r/>
            <w:r>
              <w:rPr>
                <w:rFonts w:ascii="Arial" w:hAnsi="Arial"/>
                <w:b w:val="0"/>
                <w:color w:val="26323F"/>
                <w:sz w:val="15"/>
              </w:rPr>
              <w:t>188,9 M€</w:t>
            </w:r>
          </w:p>
        </w:tc>
      </w:tr>
      <w:tr>
        <w:tc>
          <w:tcPr>
            <w:tcW w:type="dxa" w:w="2088"/>
            <w:vAlign w:val="center"/>
          </w:tcPr>
          <w:p>
            <w:r/>
            <w:r>
              <w:rPr>
                <w:rFonts w:ascii="Arial" w:hAnsi="Arial"/>
                <w:b w:val="0"/>
                <w:color w:val="26323F"/>
                <w:sz w:val="15"/>
              </w:rPr>
              <w:t>EBITDA</w:t>
            </w:r>
          </w:p>
        </w:tc>
        <w:tc>
          <w:tcPr>
            <w:tcW w:type="dxa" w:w="1224"/>
            <w:vAlign w:val="center"/>
          </w:tcPr>
          <w:p>
            <w:r/>
            <w:r>
              <w:rPr>
                <w:rFonts w:ascii="Arial" w:hAnsi="Arial"/>
                <w:b w:val="0"/>
                <w:color w:val="26323F"/>
                <w:sz w:val="15"/>
              </w:rPr>
              <w:t>-1,6 M€</w:t>
            </w:r>
          </w:p>
        </w:tc>
        <w:tc>
          <w:tcPr>
            <w:tcW w:type="dxa" w:w="1224"/>
            <w:vAlign w:val="center"/>
          </w:tcPr>
          <w:p>
            <w:r/>
            <w:r>
              <w:rPr>
                <w:rFonts w:ascii="Arial" w:hAnsi="Arial"/>
                <w:b w:val="0"/>
                <w:color w:val="26323F"/>
                <w:sz w:val="15"/>
              </w:rPr>
              <w:t>1,9 M€</w:t>
            </w:r>
          </w:p>
        </w:tc>
        <w:tc>
          <w:tcPr>
            <w:tcW w:type="dxa" w:w="1224"/>
            <w:vAlign w:val="center"/>
          </w:tcPr>
          <w:p>
            <w:r/>
            <w:r>
              <w:rPr>
                <w:rFonts w:ascii="Arial" w:hAnsi="Arial"/>
                <w:b w:val="0"/>
                <w:color w:val="26323F"/>
                <w:sz w:val="15"/>
              </w:rPr>
              <w:t>16,7 M€</w:t>
            </w:r>
          </w:p>
        </w:tc>
        <w:tc>
          <w:tcPr>
            <w:tcW w:type="dxa" w:w="1224"/>
            <w:vAlign w:val="center"/>
          </w:tcPr>
          <w:p>
            <w:r/>
            <w:r>
              <w:rPr>
                <w:rFonts w:ascii="Arial" w:hAnsi="Arial"/>
                <w:b w:val="0"/>
                <w:color w:val="26323F"/>
                <w:sz w:val="15"/>
              </w:rPr>
              <w:t>47,5 M€</w:t>
            </w:r>
          </w:p>
        </w:tc>
        <w:tc>
          <w:tcPr>
            <w:tcW w:type="dxa" w:w="1224"/>
            <w:vAlign w:val="center"/>
          </w:tcPr>
          <w:p>
            <w:r/>
            <w:r>
              <w:rPr>
                <w:rFonts w:ascii="Arial" w:hAnsi="Arial"/>
                <w:b w:val="0"/>
                <w:color w:val="26323F"/>
                <w:sz w:val="15"/>
              </w:rPr>
              <w:t>110,4 M€</w:t>
            </w:r>
          </w:p>
        </w:tc>
      </w:tr>
      <w:tr>
        <w:tc>
          <w:tcPr>
            <w:tcW w:type="dxa" w:w="2088"/>
            <w:vAlign w:val="center"/>
            <w:shd w:fill="F7F9FB"/>
          </w:tcPr>
          <w:p>
            <w:r/>
            <w:r>
              <w:rPr>
                <w:rFonts w:ascii="Arial" w:hAnsi="Arial"/>
                <w:b w:val="0"/>
                <w:color w:val="26323F"/>
                <w:sz w:val="15"/>
              </w:rPr>
              <w:t>Margen EBITDA</w:t>
            </w:r>
          </w:p>
        </w:tc>
        <w:tc>
          <w:tcPr>
            <w:tcW w:type="dxa" w:w="1224"/>
            <w:vAlign w:val="center"/>
            <w:shd w:fill="F7F9FB"/>
          </w:tcPr>
          <w:p>
            <w:r/>
            <w:r>
              <w:rPr>
                <w:rFonts w:ascii="Arial" w:hAnsi="Arial"/>
                <w:b w:val="0"/>
                <w:color w:val="26323F"/>
                <w:sz w:val="15"/>
              </w:rPr>
              <w:t>-54,8%</w:t>
            </w:r>
          </w:p>
        </w:tc>
        <w:tc>
          <w:tcPr>
            <w:tcW w:type="dxa" w:w="1224"/>
            <w:vAlign w:val="center"/>
            <w:shd w:fill="F7F9FB"/>
          </w:tcPr>
          <w:p>
            <w:r/>
            <w:r>
              <w:rPr>
                <w:rFonts w:ascii="Arial" w:hAnsi="Arial"/>
                <w:b w:val="0"/>
                <w:color w:val="26323F"/>
                <w:sz w:val="15"/>
              </w:rPr>
              <w:t>15,0%</w:t>
            </w:r>
          </w:p>
        </w:tc>
        <w:tc>
          <w:tcPr>
            <w:tcW w:type="dxa" w:w="1224"/>
            <w:vAlign w:val="center"/>
            <w:shd w:fill="F7F9FB"/>
          </w:tcPr>
          <w:p>
            <w:r/>
            <w:r>
              <w:rPr>
                <w:rFonts w:ascii="Arial" w:hAnsi="Arial"/>
                <w:b w:val="0"/>
                <w:color w:val="26323F"/>
                <w:sz w:val="15"/>
              </w:rPr>
              <w:t>40,0%</w:t>
            </w:r>
          </w:p>
        </w:tc>
        <w:tc>
          <w:tcPr>
            <w:tcW w:type="dxa" w:w="1224"/>
            <w:vAlign w:val="center"/>
            <w:shd w:fill="F7F9FB"/>
          </w:tcPr>
          <w:p>
            <w:r/>
            <w:r>
              <w:rPr>
                <w:rFonts w:ascii="Arial" w:hAnsi="Arial"/>
                <w:b w:val="0"/>
                <w:color w:val="26323F"/>
                <w:sz w:val="15"/>
              </w:rPr>
              <w:t>51,6%</w:t>
            </w:r>
          </w:p>
        </w:tc>
        <w:tc>
          <w:tcPr>
            <w:tcW w:type="dxa" w:w="1224"/>
            <w:vAlign w:val="center"/>
            <w:shd w:fill="F7F9FB"/>
          </w:tcPr>
          <w:p>
            <w:r/>
            <w:r>
              <w:rPr>
                <w:rFonts w:ascii="Arial" w:hAnsi="Arial"/>
                <w:b w:val="0"/>
                <w:color w:val="26323F"/>
                <w:sz w:val="15"/>
              </w:rPr>
              <w:t>58,5%</w:t>
            </w:r>
          </w:p>
        </w:tc>
      </w:tr>
      <w:tr>
        <w:tc>
          <w:tcPr>
            <w:tcW w:type="dxa" w:w="2088"/>
            <w:vAlign w:val="center"/>
          </w:tcPr>
          <w:p>
            <w:r/>
            <w:r>
              <w:rPr>
                <w:rFonts w:ascii="Arial" w:hAnsi="Arial"/>
                <w:b w:val="0"/>
                <w:color w:val="26323F"/>
                <w:sz w:val="15"/>
              </w:rPr>
              <w:t>m² emitidos</w:t>
            </w:r>
          </w:p>
        </w:tc>
        <w:tc>
          <w:tcPr>
            <w:tcW w:type="dxa" w:w="1224"/>
            <w:vAlign w:val="center"/>
          </w:tcPr>
          <w:p>
            <w:r/>
            <w:r>
              <w:rPr>
                <w:rFonts w:ascii="Arial" w:hAnsi="Arial"/>
                <w:b w:val="0"/>
                <w:color w:val="26323F"/>
                <w:sz w:val="15"/>
              </w:rPr>
              <w:t>140.000</w:t>
            </w:r>
          </w:p>
        </w:tc>
        <w:tc>
          <w:tcPr>
            <w:tcW w:type="dxa" w:w="1224"/>
            <w:vAlign w:val="center"/>
          </w:tcPr>
          <w:p>
            <w:r/>
            <w:r>
              <w:rPr>
                <w:rFonts w:ascii="Arial" w:hAnsi="Arial"/>
                <w:b w:val="0"/>
                <w:color w:val="26323F"/>
                <w:sz w:val="15"/>
              </w:rPr>
              <w:t>446.000</w:t>
            </w:r>
          </w:p>
        </w:tc>
        <w:tc>
          <w:tcPr>
            <w:tcW w:type="dxa" w:w="1224"/>
            <w:vAlign w:val="center"/>
          </w:tcPr>
          <w:p>
            <w:r/>
            <w:r>
              <w:rPr>
                <w:rFonts w:ascii="Arial" w:hAnsi="Arial"/>
                <w:b w:val="0"/>
                <w:color w:val="26323F"/>
                <w:sz w:val="15"/>
              </w:rPr>
              <w:t>1.065.000</w:t>
            </w:r>
          </w:p>
        </w:tc>
        <w:tc>
          <w:tcPr>
            <w:tcW w:type="dxa" w:w="1224"/>
            <w:vAlign w:val="center"/>
          </w:tcPr>
          <w:p>
            <w:r/>
            <w:r>
              <w:rPr>
                <w:rFonts w:ascii="Arial" w:hAnsi="Arial"/>
                <w:b w:val="0"/>
                <w:color w:val="26323F"/>
                <w:sz w:val="15"/>
              </w:rPr>
              <w:t>1.920.000</w:t>
            </w:r>
          </w:p>
        </w:tc>
        <w:tc>
          <w:tcPr>
            <w:tcW w:type="dxa" w:w="1224"/>
            <w:vAlign w:val="center"/>
          </w:tcPr>
          <w:p>
            <w:r/>
            <w:r>
              <w:rPr>
                <w:rFonts w:ascii="Arial" w:hAnsi="Arial"/>
                <w:b w:val="0"/>
                <w:color w:val="26323F"/>
                <w:sz w:val="15"/>
              </w:rPr>
              <w:t>2.940.000</w:t>
            </w:r>
          </w:p>
        </w:tc>
      </w:tr>
      <w:tr>
        <w:tc>
          <w:tcPr>
            <w:tcW w:type="dxa" w:w="2088"/>
            <w:vAlign w:val="center"/>
            <w:shd w:fill="F7F9FB"/>
          </w:tcPr>
          <w:p>
            <w:r/>
            <w:r>
              <w:rPr>
                <w:rFonts w:ascii="Arial" w:hAnsi="Arial"/>
                <w:b w:val="0"/>
                <w:color w:val="26323F"/>
                <w:sz w:val="15"/>
              </w:rPr>
              <w:t>Stock vivo</w:t>
            </w:r>
          </w:p>
        </w:tc>
        <w:tc>
          <w:tcPr>
            <w:tcW w:type="dxa" w:w="1224"/>
            <w:vAlign w:val="center"/>
            <w:shd w:fill="F7F9FB"/>
          </w:tcPr>
          <w:p>
            <w:r/>
            <w:r>
              <w:rPr>
                <w:rFonts w:ascii="Arial" w:hAnsi="Arial"/>
                <w:b w:val="0"/>
                <w:color w:val="26323F"/>
                <w:sz w:val="15"/>
              </w:rPr>
              <w:t>140.000</w:t>
            </w:r>
          </w:p>
        </w:tc>
        <w:tc>
          <w:tcPr>
            <w:tcW w:type="dxa" w:w="1224"/>
            <w:vAlign w:val="center"/>
            <w:shd w:fill="F7F9FB"/>
          </w:tcPr>
          <w:p>
            <w:r/>
            <w:r>
              <w:rPr>
                <w:rFonts w:ascii="Arial" w:hAnsi="Arial"/>
                <w:b w:val="0"/>
                <w:color w:val="26323F"/>
                <w:sz w:val="15"/>
              </w:rPr>
              <w:t>586.000</w:t>
            </w:r>
          </w:p>
        </w:tc>
        <w:tc>
          <w:tcPr>
            <w:tcW w:type="dxa" w:w="1224"/>
            <w:vAlign w:val="center"/>
            <w:shd w:fill="F7F9FB"/>
          </w:tcPr>
          <w:p>
            <w:r/>
            <w:r>
              <w:rPr>
                <w:rFonts w:ascii="Arial" w:hAnsi="Arial"/>
                <w:b w:val="0"/>
                <w:color w:val="26323F"/>
                <w:sz w:val="15"/>
              </w:rPr>
              <w:t>1.651.000</w:t>
            </w:r>
          </w:p>
        </w:tc>
        <w:tc>
          <w:tcPr>
            <w:tcW w:type="dxa" w:w="1224"/>
            <w:vAlign w:val="center"/>
            <w:shd w:fill="F7F9FB"/>
          </w:tcPr>
          <w:p>
            <w:r/>
            <w:r>
              <w:rPr>
                <w:rFonts w:ascii="Arial" w:hAnsi="Arial"/>
                <w:b w:val="0"/>
                <w:color w:val="26323F"/>
                <w:sz w:val="15"/>
              </w:rPr>
              <w:t>3.570.000</w:t>
            </w:r>
          </w:p>
        </w:tc>
        <w:tc>
          <w:tcPr>
            <w:tcW w:type="dxa" w:w="1224"/>
            <w:vAlign w:val="center"/>
            <w:shd w:fill="F7F9FB"/>
          </w:tcPr>
          <w:p>
            <w:r/>
            <w:r>
              <w:rPr>
                <w:rFonts w:ascii="Arial" w:hAnsi="Arial"/>
                <w:b w:val="0"/>
                <w:color w:val="26323F"/>
                <w:sz w:val="15"/>
              </w:rPr>
              <w:t>6.511.000</w:t>
            </w:r>
          </w:p>
        </w:tc>
      </w:tr>
      <w:tr>
        <w:tc>
          <w:tcPr>
            <w:tcW w:type="dxa" w:w="2088"/>
            <w:vAlign w:val="center"/>
          </w:tcPr>
          <w:p>
            <w:r/>
            <w:r>
              <w:rPr>
                <w:rFonts w:ascii="Arial" w:hAnsi="Arial"/>
                <w:b w:val="0"/>
                <w:color w:val="26323F"/>
                <w:sz w:val="15"/>
              </w:rPr>
              <w:t>Partners activos</w:t>
            </w:r>
          </w:p>
        </w:tc>
        <w:tc>
          <w:tcPr>
            <w:tcW w:type="dxa" w:w="1224"/>
            <w:vAlign w:val="center"/>
          </w:tcPr>
          <w:p>
            <w:r/>
            <w:r>
              <w:rPr>
                <w:rFonts w:ascii="Arial" w:hAnsi="Arial"/>
                <w:b w:val="0"/>
                <w:color w:val="26323F"/>
                <w:sz w:val="15"/>
              </w:rPr>
              <w:t>2</w:t>
            </w:r>
          </w:p>
        </w:tc>
        <w:tc>
          <w:tcPr>
            <w:tcW w:type="dxa" w:w="1224"/>
            <w:vAlign w:val="center"/>
          </w:tcPr>
          <w:p>
            <w:r/>
            <w:r>
              <w:rPr>
                <w:rFonts w:ascii="Arial" w:hAnsi="Arial"/>
                <w:b w:val="0"/>
                <w:color w:val="26323F"/>
                <w:sz w:val="15"/>
              </w:rPr>
              <w:t>5</w:t>
            </w:r>
          </w:p>
        </w:tc>
        <w:tc>
          <w:tcPr>
            <w:tcW w:type="dxa" w:w="1224"/>
            <w:vAlign w:val="center"/>
          </w:tcPr>
          <w:p>
            <w:r/>
            <w:r>
              <w:rPr>
                <w:rFonts w:ascii="Arial" w:hAnsi="Arial"/>
                <w:b w:val="0"/>
                <w:color w:val="26323F"/>
                <w:sz w:val="15"/>
              </w:rPr>
              <w:t>11</w:t>
            </w:r>
          </w:p>
        </w:tc>
        <w:tc>
          <w:tcPr>
            <w:tcW w:type="dxa" w:w="1224"/>
            <w:vAlign w:val="center"/>
          </w:tcPr>
          <w:p>
            <w:r/>
            <w:r>
              <w:rPr>
                <w:rFonts w:ascii="Arial" w:hAnsi="Arial"/>
                <w:b w:val="0"/>
                <w:color w:val="26323F"/>
                <w:sz w:val="15"/>
              </w:rPr>
              <w:t>17</w:t>
            </w:r>
          </w:p>
        </w:tc>
        <w:tc>
          <w:tcPr>
            <w:tcW w:type="dxa" w:w="1224"/>
            <w:vAlign w:val="center"/>
          </w:tcPr>
          <w:p>
            <w:r/>
            <w:r>
              <w:rPr>
                <w:rFonts w:ascii="Arial" w:hAnsi="Arial"/>
                <w:b w:val="0"/>
                <w:color w:val="26323F"/>
                <w:sz w:val="15"/>
              </w:rPr>
              <w:t>23</w:t>
            </w:r>
          </w:p>
        </w:tc>
      </w:tr>
      <w:tr>
        <w:tc>
          <w:tcPr>
            <w:tcW w:type="dxa" w:w="2088"/>
            <w:vAlign w:val="center"/>
            <w:shd w:fill="F7F9FB"/>
          </w:tcPr>
          <w:p>
            <w:r/>
            <w:r>
              <w:rPr>
                <w:rFonts w:ascii="Arial" w:hAnsi="Arial"/>
                <w:b w:val="0"/>
                <w:color w:val="26323F"/>
                <w:sz w:val="15"/>
              </w:rPr>
              <w:t>Financiación modelizada</w:t>
            </w:r>
          </w:p>
        </w:tc>
        <w:tc>
          <w:tcPr>
            <w:tcW w:type="dxa" w:w="1224"/>
            <w:vAlign w:val="center"/>
            <w:shd w:fill="F7F9FB"/>
          </w:tcPr>
          <w:p>
            <w:r/>
            <w:r>
              <w:rPr>
                <w:rFonts w:ascii="Arial" w:hAnsi="Arial"/>
                <w:b w:val="0"/>
                <w:color w:val="26323F"/>
                <w:sz w:val="15"/>
              </w:rPr>
              <w:t>3,5 M€</w:t>
            </w:r>
          </w:p>
        </w:tc>
        <w:tc>
          <w:tcPr>
            <w:tcW w:type="dxa" w:w="1224"/>
            <w:vAlign w:val="center"/>
            <w:shd w:fill="F7F9FB"/>
          </w:tcPr>
          <w:p>
            <w:r/>
            <w:r>
              <w:rPr>
                <w:rFonts w:ascii="Arial" w:hAnsi="Arial"/>
                <w:b w:val="0"/>
                <w:color w:val="26323F"/>
                <w:sz w:val="15"/>
              </w:rPr>
              <w:t>3,0 M€</w:t>
            </w:r>
          </w:p>
        </w:tc>
        <w:tc>
          <w:tcPr>
            <w:tcW w:type="dxa" w:w="1224"/>
            <w:vAlign w:val="center"/>
            <w:shd w:fill="F7F9FB"/>
          </w:tcPr>
          <w:p>
            <w:r/>
            <w:r>
              <w:rPr>
                <w:rFonts w:ascii="Arial" w:hAnsi="Arial"/>
                <w:b w:val="0"/>
                <w:color w:val="26323F"/>
                <w:sz w:val="15"/>
              </w:rPr>
              <w:t>1,5 M€</w:t>
            </w:r>
          </w:p>
        </w:tc>
        <w:tc>
          <w:tcPr>
            <w:tcW w:type="dxa" w:w="1224"/>
            <w:vAlign w:val="center"/>
            <w:shd w:fill="F7F9FB"/>
          </w:tcPr>
          <w:p>
            <w:r/>
            <w:r>
              <w:rPr>
                <w:rFonts w:ascii="Arial" w:hAnsi="Arial"/>
                <w:b w:val="0"/>
                <w:color w:val="26323F"/>
                <w:sz w:val="15"/>
              </w:rPr>
              <w:t>0,0 M€</w:t>
            </w:r>
          </w:p>
        </w:tc>
        <w:tc>
          <w:tcPr>
            <w:tcW w:type="dxa" w:w="1224"/>
            <w:vAlign w:val="center"/>
            <w:shd w:fill="F7F9FB"/>
          </w:tcPr>
          <w:p>
            <w:r/>
            <w:r>
              <w:rPr>
                <w:rFonts w:ascii="Arial" w:hAnsi="Arial"/>
                <w:b w:val="0"/>
                <w:color w:val="26323F"/>
                <w:sz w:val="15"/>
              </w:rPr>
              <w:t>0,0 M€</w:t>
            </w:r>
          </w:p>
        </w:tc>
      </w:tr>
    </w:tbl>
    <w:p/>
    <w:p>
      <w:pPr>
        <w:spacing w:after="100"/>
        <w:ind w:left="216"/>
      </w:pPr>
      <w:r>
        <w:rPr>
          <w:rFonts w:ascii="Arial" w:hAnsi="Arial"/>
          <w:i/>
          <w:color w:val="667085"/>
          <w:sz w:val="17"/>
        </w:rPr>
        <w:t>La financiación modelizada 2026-2028 no es capital comprometido. Debe estructurarse por tramos y liberarse contra reducción verificable de riesgo.</w:t>
      </w:r>
    </w:p>
    <w:p>
      <w:pPr>
        <w:jc w:val="center"/>
      </w:pPr>
      <w:r>
        <w:drawing>
          <wp:inline xmlns:a="http://schemas.openxmlformats.org/drawingml/2006/main" xmlns:pic="http://schemas.openxmlformats.org/drawingml/2006/picture">
            <wp:extent cx="6355080" cy="3707130"/>
            <wp:docPr id="12" name="Picture 12"/>
            <wp:cNvGraphicFramePr>
              <a:graphicFrameLocks noChangeAspect="1"/>
            </wp:cNvGraphicFramePr>
            <a:graphic>
              <a:graphicData uri="http://schemas.openxmlformats.org/drawingml/2006/picture">
                <pic:pic>
                  <pic:nvPicPr>
                    <pic:cNvPr id="0" name="09_mix_2030.png"/>
                    <pic:cNvPicPr/>
                  </pic:nvPicPr>
                  <pic:blipFill>
                    <a:blip r:embed="rId21"/>
                    <a:stretch>
                      <a:fillRect/>
                    </a:stretch>
                  </pic:blipFill>
                  <pic:spPr>
                    <a:xfrm>
                      <a:off x="0" y="0"/>
                      <a:ext cx="6355080" cy="3707130"/>
                    </a:xfrm>
                    <a:prstGeom prst="rect"/>
                  </pic:spPr>
                </pic:pic>
              </a:graphicData>
            </a:graphic>
          </wp:inline>
        </w:drawing>
      </w:r>
    </w:p>
    <w:p>
      <w:pPr>
        <w:spacing w:after="160"/>
        <w:jc w:val="center"/>
      </w:pPr>
      <w:r>
        <w:rPr>
          <w:rFonts w:ascii="Arial" w:hAnsi="Arial"/>
          <w:i/>
          <w:color w:val="667085"/>
          <w:sz w:val="17"/>
        </w:rPr>
        <w:t>Figura 10. Mix de ingresos 2030 por motor.</w:t>
      </w:r>
    </w:p>
    <w:p>
      <w:pPr>
        <w:pStyle w:val="Heading1"/>
      </w:pPr>
      <w:r>
        <w:rPr>
          <w:rFonts w:ascii="Arial" w:hAnsi="Arial"/>
          <w:color w:val="0B1F33"/>
        </w:rPr>
        <w:t>12. Valoración 2027 y 2030</w:t>
      </w:r>
    </w:p>
    <w:p>
      <w:pPr>
        <w:spacing w:line="271" w:lineRule="auto" w:after="120"/>
      </w:pPr>
      <w:r>
        <w:rPr>
          <w:rFonts w:ascii="Arial" w:hAnsi="Arial"/>
          <w:color w:val="26323F"/>
          <w:sz w:val="20"/>
        </w:rPr>
        <w:t>La valoración 2027 se presenta como objetivo interno de gestión, no como tasación independiente. La defensa depende de hitos: release comercial, casos, hub, monetización de red, pipeline, contrato KIWA/RMOOB único, gobierno y repetibilidad.</w:t>
      </w:r>
    </w:p>
    <w:p>
      <w:pPr>
        <w:jc w:val="center"/>
      </w:pPr>
      <w:r>
        <w:drawing>
          <wp:inline xmlns:a="http://schemas.openxmlformats.org/drawingml/2006/main" xmlns:pic="http://schemas.openxmlformats.org/drawingml/2006/picture">
            <wp:extent cx="6355080" cy="3707130"/>
            <wp:docPr id="13" name="Picture 13"/>
            <wp:cNvGraphicFramePr>
              <a:graphicFrameLocks noChangeAspect="1"/>
            </wp:cNvGraphicFramePr>
            <a:graphic>
              <a:graphicData uri="http://schemas.openxmlformats.org/drawingml/2006/picture">
                <pic:pic>
                  <pic:nvPicPr>
                    <pic:cNvPr id="0" name="10_valuation_bridge_2027.png"/>
                    <pic:cNvPicPr/>
                  </pic:nvPicPr>
                  <pic:blipFill>
                    <a:blip r:embed="rId22"/>
                    <a:stretch>
                      <a:fillRect/>
                    </a:stretch>
                  </pic:blipFill>
                  <pic:spPr>
                    <a:xfrm>
                      <a:off x="0" y="0"/>
                      <a:ext cx="6355080" cy="3707130"/>
                    </a:xfrm>
                    <a:prstGeom prst="rect"/>
                  </pic:spPr>
                </pic:pic>
              </a:graphicData>
            </a:graphic>
          </wp:inline>
        </w:drawing>
      </w:r>
    </w:p>
    <w:p>
      <w:pPr>
        <w:spacing w:after="160"/>
        <w:jc w:val="center"/>
      </w:pPr>
      <w:r>
        <w:rPr>
          <w:rFonts w:ascii="Arial" w:hAnsi="Arial"/>
          <w:i/>
          <w:color w:val="667085"/>
          <w:sz w:val="17"/>
        </w:rPr>
        <w:t>Figura 11. Bridge de valor actual a objetivo 2027.</w:t>
      </w:r>
    </w:p>
    <w:tbl>
      <w:tblPr>
        <w:tblStyle w:val="TableGrid"/>
        <w:tblW w:type="auto" w:w="0"/>
        <w:tblLook w:firstColumn="1" w:firstRow="1" w:lastColumn="0" w:lastRow="0" w:noHBand="0" w:noVBand="1" w:val="04A0"/>
      </w:tblPr>
      <w:tblGrid>
        <w:gridCol w:w="2592"/>
        <w:gridCol w:w="2592"/>
        <w:gridCol w:w="2592"/>
        <w:gridCol w:w="2592"/>
      </w:tblGrid>
      <w:tr>
        <w:tc>
          <w:tcPr>
            <w:tcW w:type="dxa" w:w="2520"/>
            <w:vAlign w:val="center"/>
            <w:shd w:fill="0B1F33"/>
          </w:tcPr>
          <w:p>
            <w:r/>
            <w:r>
              <w:rPr>
                <w:rFonts w:ascii="Arial" w:hAnsi="Arial"/>
                <w:b/>
                <w:color w:val="FFFFFF"/>
                <w:sz w:val="14"/>
              </w:rPr>
              <w:t>Hito</w:t>
            </w:r>
          </w:p>
        </w:tc>
        <w:tc>
          <w:tcPr>
            <w:tcW w:type="dxa" w:w="1224"/>
            <w:vAlign w:val="center"/>
            <w:shd w:fill="0B1F33"/>
          </w:tcPr>
          <w:p>
            <w:r/>
            <w:r>
              <w:rPr>
                <w:rFonts w:ascii="Arial" w:hAnsi="Arial"/>
                <w:b/>
                <w:color w:val="FFFFFF"/>
                <w:sz w:val="14"/>
              </w:rPr>
              <w:t>Incremento</w:t>
            </w:r>
          </w:p>
        </w:tc>
        <w:tc>
          <w:tcPr>
            <w:tcW w:type="dxa" w:w="1224"/>
            <w:vAlign w:val="center"/>
            <w:shd w:fill="0B1F33"/>
          </w:tcPr>
          <w:p>
            <w:r/>
            <w:r>
              <w:rPr>
                <w:rFonts w:ascii="Arial" w:hAnsi="Arial"/>
                <w:b/>
                <w:color w:val="FFFFFF"/>
                <w:sz w:val="14"/>
              </w:rPr>
              <w:t>Acumulado</w:t>
            </w:r>
          </w:p>
        </w:tc>
        <w:tc>
          <w:tcPr>
            <w:tcW w:type="dxa" w:w="3888"/>
            <w:vAlign w:val="center"/>
            <w:shd w:fill="0B1F33"/>
          </w:tcPr>
          <w:p>
            <w:r/>
            <w:r>
              <w:rPr>
                <w:rFonts w:ascii="Arial" w:hAnsi="Arial"/>
                <w:b/>
                <w:color w:val="FFFFFF"/>
                <w:sz w:val="14"/>
              </w:rPr>
              <w:t>Evidencia requerida</w:t>
            </w:r>
          </w:p>
        </w:tc>
      </w:tr>
      <w:tr>
        <w:tc>
          <w:tcPr>
            <w:tcW w:type="dxa" w:w="2520"/>
            <w:vAlign w:val="center"/>
            <w:shd w:fill="F7F9FB"/>
          </w:tcPr>
          <w:p>
            <w:r/>
            <w:r>
              <w:rPr>
                <w:rFonts w:ascii="Arial" w:hAnsi="Arial"/>
                <w:b w:val="0"/>
                <w:color w:val="26323F"/>
                <w:sz w:val="14"/>
              </w:rPr>
              <w:t>Valor actual defendido</w:t>
            </w:r>
          </w:p>
        </w:tc>
        <w:tc>
          <w:tcPr>
            <w:tcW w:type="dxa" w:w="1224"/>
            <w:vAlign w:val="center"/>
            <w:shd w:fill="F7F9FB"/>
          </w:tcPr>
          <w:p>
            <w:r/>
            <w:r>
              <w:rPr>
                <w:rFonts w:ascii="Arial" w:hAnsi="Arial"/>
                <w:b w:val="0"/>
                <w:color w:val="26323F"/>
                <w:sz w:val="14"/>
              </w:rPr>
              <w:t>4.216.175 €</w:t>
            </w:r>
          </w:p>
        </w:tc>
        <w:tc>
          <w:tcPr>
            <w:tcW w:type="dxa" w:w="1224"/>
            <w:vAlign w:val="center"/>
            <w:shd w:fill="F7F9FB"/>
          </w:tcPr>
          <w:p>
            <w:r/>
            <w:r>
              <w:rPr>
                <w:rFonts w:ascii="Arial" w:hAnsi="Arial"/>
                <w:b w:val="0"/>
                <w:color w:val="26323F"/>
                <w:sz w:val="14"/>
              </w:rPr>
              <w:t>4.216.175 €</w:t>
            </w:r>
          </w:p>
        </w:tc>
        <w:tc>
          <w:tcPr>
            <w:tcW w:type="dxa" w:w="3888"/>
            <w:vAlign w:val="center"/>
            <w:shd w:fill="F7F9FB"/>
          </w:tcPr>
          <w:p>
            <w:r/>
            <w:r>
              <w:rPr>
                <w:rFonts w:ascii="Arial" w:hAnsi="Arial"/>
                <w:b w:val="0"/>
                <w:color w:val="26323F"/>
                <w:sz w:val="14"/>
              </w:rPr>
              <w:t>Informe inversor, memoria de inversión, activos, demos</w:t>
            </w:r>
          </w:p>
        </w:tc>
      </w:tr>
      <w:tr>
        <w:tc>
          <w:tcPr>
            <w:tcW w:type="dxa" w:w="2520"/>
            <w:vAlign w:val="center"/>
          </w:tcPr>
          <w:p>
            <w:r/>
            <w:r>
              <w:rPr>
                <w:rFonts w:ascii="Arial" w:hAnsi="Arial"/>
                <w:b w:val="0"/>
                <w:color w:val="26323F"/>
                <w:sz w:val="14"/>
              </w:rPr>
              <w:t>Producto CUEVA OS comercializable</w:t>
            </w:r>
          </w:p>
        </w:tc>
        <w:tc>
          <w:tcPr>
            <w:tcW w:type="dxa" w:w="1224"/>
            <w:vAlign w:val="center"/>
          </w:tcPr>
          <w:p>
            <w:r/>
            <w:r>
              <w:rPr>
                <w:rFonts w:ascii="Arial" w:hAnsi="Arial"/>
                <w:b w:val="0"/>
                <w:color w:val="26323F"/>
                <w:sz w:val="14"/>
              </w:rPr>
              <w:t>1.200.000 €</w:t>
            </w:r>
          </w:p>
        </w:tc>
        <w:tc>
          <w:tcPr>
            <w:tcW w:type="dxa" w:w="1224"/>
            <w:vAlign w:val="center"/>
          </w:tcPr>
          <w:p>
            <w:r/>
            <w:r>
              <w:rPr>
                <w:rFonts w:ascii="Arial" w:hAnsi="Arial"/>
                <w:b w:val="0"/>
                <w:color w:val="26323F"/>
                <w:sz w:val="14"/>
              </w:rPr>
              <w:t>5.416.175 €</w:t>
            </w:r>
          </w:p>
        </w:tc>
        <w:tc>
          <w:tcPr>
            <w:tcW w:type="dxa" w:w="3888"/>
            <w:vAlign w:val="center"/>
          </w:tcPr>
          <w:p>
            <w:r/>
            <w:r>
              <w:rPr>
                <w:rFonts w:ascii="Arial" w:hAnsi="Arial"/>
                <w:b w:val="0"/>
                <w:color w:val="26323F"/>
                <w:sz w:val="14"/>
              </w:rPr>
              <w:t>Release, demo, QA, documentación, seguridad</w:t>
            </w:r>
          </w:p>
        </w:tc>
      </w:tr>
      <w:tr>
        <w:tc>
          <w:tcPr>
            <w:tcW w:type="dxa" w:w="2520"/>
            <w:vAlign w:val="center"/>
            <w:shd w:fill="F7F9FB"/>
          </w:tcPr>
          <w:p>
            <w:r/>
            <w:r>
              <w:rPr>
                <w:rFonts w:ascii="Arial" w:hAnsi="Arial"/>
                <w:b w:val="0"/>
                <w:color w:val="26323F"/>
                <w:sz w:val="14"/>
              </w:rPr>
              <w:t>Casos y validación industrial</w:t>
            </w:r>
          </w:p>
        </w:tc>
        <w:tc>
          <w:tcPr>
            <w:tcW w:type="dxa" w:w="1224"/>
            <w:vAlign w:val="center"/>
            <w:shd w:fill="F7F9FB"/>
          </w:tcPr>
          <w:p>
            <w:r/>
            <w:r>
              <w:rPr>
                <w:rFonts w:ascii="Arial" w:hAnsi="Arial"/>
                <w:b w:val="0"/>
                <w:color w:val="26323F"/>
                <w:sz w:val="14"/>
              </w:rPr>
              <w:t>900.000 €</w:t>
            </w:r>
          </w:p>
        </w:tc>
        <w:tc>
          <w:tcPr>
            <w:tcW w:type="dxa" w:w="1224"/>
            <w:vAlign w:val="center"/>
            <w:shd w:fill="F7F9FB"/>
          </w:tcPr>
          <w:p>
            <w:r/>
            <w:r>
              <w:rPr>
                <w:rFonts w:ascii="Arial" w:hAnsi="Arial"/>
                <w:b w:val="0"/>
                <w:color w:val="26323F"/>
                <w:sz w:val="14"/>
              </w:rPr>
              <w:t>6.316.175 €</w:t>
            </w:r>
          </w:p>
        </w:tc>
        <w:tc>
          <w:tcPr>
            <w:tcW w:type="dxa" w:w="3888"/>
            <w:vAlign w:val="center"/>
            <w:shd w:fill="F7F9FB"/>
          </w:tcPr>
          <w:p>
            <w:r/>
            <w:r>
              <w:rPr>
                <w:rFonts w:ascii="Arial" w:hAnsi="Arial"/>
                <w:b w:val="0"/>
                <w:color w:val="26323F"/>
                <w:sz w:val="14"/>
              </w:rPr>
              <w:t>Piedrahita, Menorca, Llar de Mar 2 con POI/DPP</w:t>
            </w:r>
          </w:p>
        </w:tc>
      </w:tr>
      <w:tr>
        <w:tc>
          <w:tcPr>
            <w:tcW w:type="dxa" w:w="2520"/>
            <w:vAlign w:val="center"/>
          </w:tcPr>
          <w:p>
            <w:r/>
            <w:r>
              <w:rPr>
                <w:rFonts w:ascii="Arial" w:hAnsi="Arial"/>
                <w:b w:val="0"/>
                <w:color w:val="26323F"/>
                <w:sz w:val="14"/>
              </w:rPr>
              <w:t>Hub OADAC operativo</w:t>
            </w:r>
          </w:p>
        </w:tc>
        <w:tc>
          <w:tcPr>
            <w:tcW w:type="dxa" w:w="1224"/>
            <w:vAlign w:val="center"/>
          </w:tcPr>
          <w:p>
            <w:r/>
            <w:r>
              <w:rPr>
                <w:rFonts w:ascii="Arial" w:hAnsi="Arial"/>
                <w:b w:val="0"/>
                <w:color w:val="26323F"/>
                <w:sz w:val="14"/>
              </w:rPr>
              <w:t>800.000 €</w:t>
            </w:r>
          </w:p>
        </w:tc>
        <w:tc>
          <w:tcPr>
            <w:tcW w:type="dxa" w:w="1224"/>
            <w:vAlign w:val="center"/>
          </w:tcPr>
          <w:p>
            <w:r/>
            <w:r>
              <w:rPr>
                <w:rFonts w:ascii="Arial" w:hAnsi="Arial"/>
                <w:b w:val="0"/>
                <w:color w:val="26323F"/>
                <w:sz w:val="14"/>
              </w:rPr>
              <w:t>7.116.175 €</w:t>
            </w:r>
          </w:p>
        </w:tc>
        <w:tc>
          <w:tcPr>
            <w:tcW w:type="dxa" w:w="3888"/>
            <w:vAlign w:val="center"/>
          </w:tcPr>
          <w:p>
            <w:r/>
            <w:r>
              <w:rPr>
                <w:rFonts w:ascii="Arial" w:hAnsi="Arial"/>
                <w:b w:val="0"/>
                <w:color w:val="26323F"/>
                <w:sz w:val="14"/>
              </w:rPr>
              <w:t>Acuerdo hub, showroom, visitas y primer proyecto</w:t>
            </w:r>
          </w:p>
        </w:tc>
      </w:tr>
      <w:tr>
        <w:tc>
          <w:tcPr>
            <w:tcW w:type="dxa" w:w="2520"/>
            <w:vAlign w:val="center"/>
            <w:shd w:fill="F7F9FB"/>
          </w:tcPr>
          <w:p>
            <w:r/>
            <w:r>
              <w:rPr>
                <w:rFonts w:ascii="Arial" w:hAnsi="Arial"/>
                <w:b w:val="0"/>
                <w:color w:val="26323F"/>
                <w:sz w:val="14"/>
              </w:rPr>
              <w:t>Monetización de red demostrada</w:t>
            </w:r>
          </w:p>
        </w:tc>
        <w:tc>
          <w:tcPr>
            <w:tcW w:type="dxa" w:w="1224"/>
            <w:vAlign w:val="center"/>
            <w:shd w:fill="F7F9FB"/>
          </w:tcPr>
          <w:p>
            <w:r/>
            <w:r>
              <w:rPr>
                <w:rFonts w:ascii="Arial" w:hAnsi="Arial"/>
                <w:b w:val="0"/>
                <w:color w:val="26323F"/>
                <w:sz w:val="14"/>
              </w:rPr>
              <w:t>850.000 €</w:t>
            </w:r>
          </w:p>
        </w:tc>
        <w:tc>
          <w:tcPr>
            <w:tcW w:type="dxa" w:w="1224"/>
            <w:vAlign w:val="center"/>
            <w:shd w:fill="F7F9FB"/>
          </w:tcPr>
          <w:p>
            <w:r/>
            <w:r>
              <w:rPr>
                <w:rFonts w:ascii="Arial" w:hAnsi="Arial"/>
                <w:b w:val="0"/>
                <w:color w:val="26323F"/>
                <w:sz w:val="14"/>
              </w:rPr>
              <w:t>7.966.175 €</w:t>
            </w:r>
          </w:p>
        </w:tc>
        <w:tc>
          <w:tcPr>
            <w:tcW w:type="dxa" w:w="3888"/>
            <w:vAlign w:val="center"/>
            <w:shd w:fill="F7F9FB"/>
          </w:tcPr>
          <w:p>
            <w:r/>
            <w:r>
              <w:rPr>
                <w:rFonts w:ascii="Arial" w:hAnsi="Arial"/>
                <w:b w:val="0"/>
                <w:color w:val="26323F"/>
                <w:sz w:val="14"/>
              </w:rPr>
              <w:t>Primer fabricante y montador digitalizados + fees 2,5/2,5</w:t>
            </w:r>
          </w:p>
        </w:tc>
      </w:tr>
      <w:tr>
        <w:tc>
          <w:tcPr>
            <w:tcW w:type="dxa" w:w="2520"/>
            <w:vAlign w:val="center"/>
          </w:tcPr>
          <w:p>
            <w:r/>
            <w:r>
              <w:rPr>
                <w:rFonts w:ascii="Arial" w:hAnsi="Arial"/>
                <w:b w:val="0"/>
                <w:color w:val="26323F"/>
                <w:sz w:val="14"/>
              </w:rPr>
              <w:t>Pipeline e ingresos 2027</w:t>
            </w:r>
          </w:p>
        </w:tc>
        <w:tc>
          <w:tcPr>
            <w:tcW w:type="dxa" w:w="1224"/>
            <w:vAlign w:val="center"/>
          </w:tcPr>
          <w:p>
            <w:r/>
            <w:r>
              <w:rPr>
                <w:rFonts w:ascii="Arial" w:hAnsi="Arial"/>
                <w:b w:val="0"/>
                <w:color w:val="26323F"/>
                <w:sz w:val="14"/>
              </w:rPr>
              <w:t>950.000 €</w:t>
            </w:r>
          </w:p>
        </w:tc>
        <w:tc>
          <w:tcPr>
            <w:tcW w:type="dxa" w:w="1224"/>
            <w:vAlign w:val="center"/>
          </w:tcPr>
          <w:p>
            <w:r/>
            <w:r>
              <w:rPr>
                <w:rFonts w:ascii="Arial" w:hAnsi="Arial"/>
                <w:b w:val="0"/>
                <w:color w:val="26323F"/>
                <w:sz w:val="14"/>
              </w:rPr>
              <w:t>8.916.175 €</w:t>
            </w:r>
          </w:p>
        </w:tc>
        <w:tc>
          <w:tcPr>
            <w:tcW w:type="dxa" w:w="3888"/>
            <w:vAlign w:val="center"/>
          </w:tcPr>
          <w:p>
            <w:r/>
            <w:r>
              <w:rPr>
                <w:rFonts w:ascii="Arial" w:hAnsi="Arial"/>
                <w:b w:val="0"/>
                <w:color w:val="26323F"/>
                <w:sz w:val="14"/>
              </w:rPr>
              <w:t>Contratos, facturas, cobros, P&amp;L y EBITDA positivo</w:t>
            </w:r>
          </w:p>
        </w:tc>
      </w:tr>
      <w:tr>
        <w:tc>
          <w:tcPr>
            <w:tcW w:type="dxa" w:w="2520"/>
            <w:vAlign w:val="center"/>
            <w:shd w:fill="F7F9FB"/>
          </w:tcPr>
          <w:p>
            <w:r/>
            <w:r>
              <w:rPr>
                <w:rFonts w:ascii="Arial" w:hAnsi="Arial"/>
                <w:b w:val="0"/>
                <w:color w:val="26323F"/>
                <w:sz w:val="14"/>
              </w:rPr>
              <w:t>KIWA/RMOOB proyecto único</w:t>
            </w:r>
          </w:p>
        </w:tc>
        <w:tc>
          <w:tcPr>
            <w:tcW w:type="dxa" w:w="1224"/>
            <w:vAlign w:val="center"/>
            <w:shd w:fill="F7F9FB"/>
          </w:tcPr>
          <w:p>
            <w:r/>
            <w:r>
              <w:rPr>
                <w:rFonts w:ascii="Arial" w:hAnsi="Arial"/>
                <w:b w:val="0"/>
                <w:color w:val="26323F"/>
                <w:sz w:val="14"/>
              </w:rPr>
              <w:t>400.000 €</w:t>
            </w:r>
          </w:p>
        </w:tc>
        <w:tc>
          <w:tcPr>
            <w:tcW w:type="dxa" w:w="1224"/>
            <w:vAlign w:val="center"/>
            <w:shd w:fill="F7F9FB"/>
          </w:tcPr>
          <w:p>
            <w:r/>
            <w:r>
              <w:rPr>
                <w:rFonts w:ascii="Arial" w:hAnsi="Arial"/>
                <w:b w:val="0"/>
                <w:color w:val="26323F"/>
                <w:sz w:val="14"/>
              </w:rPr>
              <w:t>9.316.175 €</w:t>
            </w:r>
          </w:p>
        </w:tc>
        <w:tc>
          <w:tcPr>
            <w:tcW w:type="dxa" w:w="3888"/>
            <w:vAlign w:val="center"/>
            <w:shd w:fill="F7F9FB"/>
          </w:tcPr>
          <w:p>
            <w:r/>
            <w:r>
              <w:rPr>
                <w:rFonts w:ascii="Arial" w:hAnsi="Arial"/>
                <w:b w:val="0"/>
                <w:color w:val="26323F"/>
                <w:sz w:val="14"/>
              </w:rPr>
              <w:t>Contrato único de 400k, alcance y cobros por hitos</w:t>
            </w:r>
          </w:p>
        </w:tc>
      </w:tr>
      <w:tr>
        <w:tc>
          <w:tcPr>
            <w:tcW w:type="dxa" w:w="2520"/>
            <w:vAlign w:val="center"/>
          </w:tcPr>
          <w:p>
            <w:r/>
            <w:r>
              <w:rPr>
                <w:rFonts w:ascii="Arial" w:hAnsi="Arial"/>
                <w:b w:val="0"/>
                <w:color w:val="26323F"/>
                <w:sz w:val="14"/>
              </w:rPr>
              <w:t>Gobierno, carpeta documental y repetibilidad</w:t>
            </w:r>
          </w:p>
        </w:tc>
        <w:tc>
          <w:tcPr>
            <w:tcW w:type="dxa" w:w="1224"/>
            <w:vAlign w:val="center"/>
          </w:tcPr>
          <w:p>
            <w:r/>
            <w:r>
              <w:rPr>
                <w:rFonts w:ascii="Arial" w:hAnsi="Arial"/>
                <w:b w:val="0"/>
                <w:color w:val="26323F"/>
                <w:sz w:val="14"/>
              </w:rPr>
              <w:t>350.000 €</w:t>
            </w:r>
          </w:p>
        </w:tc>
        <w:tc>
          <w:tcPr>
            <w:tcW w:type="dxa" w:w="1224"/>
            <w:vAlign w:val="center"/>
          </w:tcPr>
          <w:p>
            <w:r/>
            <w:r>
              <w:rPr>
                <w:rFonts w:ascii="Arial" w:hAnsi="Arial"/>
                <w:b w:val="0"/>
                <w:color w:val="26323F"/>
                <w:sz w:val="14"/>
              </w:rPr>
              <w:t>9.666.175 €</w:t>
            </w:r>
          </w:p>
        </w:tc>
        <w:tc>
          <w:tcPr>
            <w:tcW w:type="dxa" w:w="3888"/>
            <w:vAlign w:val="center"/>
          </w:tcPr>
          <w:p>
            <w:r/>
            <w:r>
              <w:rPr>
                <w:rFonts w:ascii="Arial" w:hAnsi="Arial"/>
                <w:b w:val="0"/>
                <w:color w:val="26323F"/>
                <w:sz w:val="14"/>
              </w:rPr>
              <w:t>Contratos tipo, unit economics, KPIs y evidencias</w:t>
            </w:r>
          </w:p>
        </w:tc>
      </w:tr>
      <w:tr>
        <w:tc>
          <w:tcPr>
            <w:tcW w:type="dxa" w:w="2520"/>
            <w:vAlign w:val="center"/>
            <w:shd w:fill="F7F9FB"/>
          </w:tcPr>
          <w:p>
            <w:r/>
            <w:r>
              <w:rPr>
                <w:rFonts w:ascii="Arial" w:hAnsi="Arial"/>
                <w:b w:val="0"/>
                <w:color w:val="26323F"/>
                <w:sz w:val="14"/>
              </w:rPr>
              <w:t>Opcionalidad estratégica y mercado</w:t>
            </w:r>
          </w:p>
        </w:tc>
        <w:tc>
          <w:tcPr>
            <w:tcW w:type="dxa" w:w="1224"/>
            <w:vAlign w:val="center"/>
            <w:shd w:fill="F7F9FB"/>
          </w:tcPr>
          <w:p>
            <w:r/>
            <w:r>
              <w:rPr>
                <w:rFonts w:ascii="Arial" w:hAnsi="Arial"/>
                <w:b w:val="0"/>
                <w:color w:val="26323F"/>
                <w:sz w:val="14"/>
              </w:rPr>
              <w:t>150.000 €</w:t>
            </w:r>
          </w:p>
        </w:tc>
        <w:tc>
          <w:tcPr>
            <w:tcW w:type="dxa" w:w="1224"/>
            <w:vAlign w:val="center"/>
            <w:shd w:fill="F7F9FB"/>
          </w:tcPr>
          <w:p>
            <w:r/>
            <w:r>
              <w:rPr>
                <w:rFonts w:ascii="Arial" w:hAnsi="Arial"/>
                <w:b w:val="0"/>
                <w:color w:val="26323F"/>
                <w:sz w:val="14"/>
              </w:rPr>
              <w:t>9.816.175 €</w:t>
            </w:r>
          </w:p>
        </w:tc>
        <w:tc>
          <w:tcPr>
            <w:tcW w:type="dxa" w:w="3888"/>
            <w:vAlign w:val="center"/>
            <w:shd w:fill="F7F9FB"/>
          </w:tcPr>
          <w:p>
            <w:r/>
            <w:r>
              <w:rPr>
                <w:rFonts w:ascii="Arial" w:hAnsi="Arial"/>
                <w:b w:val="0"/>
                <w:color w:val="26323F"/>
                <w:sz w:val="14"/>
              </w:rPr>
              <w:t>CRM, partners, verticales y conversión</w:t>
            </w:r>
          </w:p>
        </w:tc>
      </w:tr>
      <w:tr>
        <w:tc>
          <w:tcPr>
            <w:tcW w:type="dxa" w:w="2520"/>
            <w:vAlign w:val="center"/>
          </w:tcPr>
          <w:p>
            <w:r/>
            <w:r>
              <w:rPr>
                <w:rFonts w:ascii="Arial" w:hAnsi="Arial"/>
                <w:b w:val="0"/>
                <w:color w:val="26323F"/>
                <w:sz w:val="14"/>
              </w:rPr>
              <w:t>Haircut prudencia para objetivo defendido</w:t>
            </w:r>
          </w:p>
        </w:tc>
        <w:tc>
          <w:tcPr>
            <w:tcW w:type="dxa" w:w="1224"/>
            <w:vAlign w:val="center"/>
          </w:tcPr>
          <w:p>
            <w:r/>
            <w:r>
              <w:rPr>
                <w:rFonts w:ascii="Arial" w:hAnsi="Arial"/>
                <w:b w:val="0"/>
                <w:color w:val="26323F"/>
                <w:sz w:val="14"/>
              </w:rPr>
              <w:t>-316.175 €</w:t>
            </w:r>
          </w:p>
        </w:tc>
        <w:tc>
          <w:tcPr>
            <w:tcW w:type="dxa" w:w="1224"/>
            <w:vAlign w:val="center"/>
          </w:tcPr>
          <w:p>
            <w:r/>
            <w:r>
              <w:rPr>
                <w:rFonts w:ascii="Arial" w:hAnsi="Arial"/>
                <w:b w:val="0"/>
                <w:color w:val="26323F"/>
                <w:sz w:val="14"/>
              </w:rPr>
              <w:t>9.500.000 €</w:t>
            </w:r>
          </w:p>
        </w:tc>
        <w:tc>
          <w:tcPr>
            <w:tcW w:type="dxa" w:w="3888"/>
            <w:vAlign w:val="center"/>
          </w:tcPr>
          <w:p>
            <w:r/>
            <w:r>
              <w:rPr>
                <w:rFonts w:ascii="Arial" w:hAnsi="Arial"/>
                <w:b w:val="0"/>
                <w:color w:val="26323F"/>
                <w:sz w:val="14"/>
              </w:rPr>
              <w:t>Ancla comercial: 9,5M EUR, rango 8-12M</w:t>
            </w:r>
          </w:p>
        </w:tc>
      </w:tr>
    </w:tbl>
    <w:p/>
    <w:p>
      <w:pPr>
        <w:spacing w:line="271" w:lineRule="auto" w:after="120"/>
      </w:pPr>
      <w:r>
        <w:rPr>
          <w:rFonts w:ascii="Arial" w:hAnsi="Arial"/>
          <w:color w:val="26323F"/>
          <w:sz w:val="20"/>
        </w:rPr>
        <w:t>En 2030, el EV midpoint del modelo base asciende a 1.599,8 M€. La SOTP base ofrece un contraste adicional por calidad de ingreso y reduce el riesgo de aplicar un único múltiplo a realidades económicas distintas.</w:t>
      </w:r>
    </w:p>
    <w:p>
      <w:pPr>
        <w:jc w:val="center"/>
      </w:pPr>
      <w:r>
        <w:drawing>
          <wp:inline xmlns:a="http://schemas.openxmlformats.org/drawingml/2006/main" xmlns:pic="http://schemas.openxmlformats.org/drawingml/2006/picture">
            <wp:extent cx="6355080" cy="3707130"/>
            <wp:docPr id="14" name="Picture 14"/>
            <wp:cNvGraphicFramePr>
              <a:graphicFrameLocks noChangeAspect="1"/>
            </wp:cNvGraphicFramePr>
            <a:graphic>
              <a:graphicData uri="http://schemas.openxmlformats.org/drawingml/2006/picture">
                <pic:pic>
                  <pic:nvPicPr>
                    <pic:cNvPr id="0" name="11_scenarios_2030.png"/>
                    <pic:cNvPicPr/>
                  </pic:nvPicPr>
                  <pic:blipFill>
                    <a:blip r:embed="rId23"/>
                    <a:stretch>
                      <a:fillRect/>
                    </a:stretch>
                  </pic:blipFill>
                  <pic:spPr>
                    <a:xfrm>
                      <a:off x="0" y="0"/>
                      <a:ext cx="6355080" cy="3707130"/>
                    </a:xfrm>
                    <a:prstGeom prst="rect"/>
                  </pic:spPr>
                </pic:pic>
              </a:graphicData>
            </a:graphic>
          </wp:inline>
        </w:drawing>
      </w:r>
    </w:p>
    <w:p>
      <w:pPr>
        <w:spacing w:after="160"/>
        <w:jc w:val="center"/>
      </w:pPr>
      <w:r>
        <w:rPr>
          <w:rFonts w:ascii="Arial" w:hAnsi="Arial"/>
          <w:i/>
          <w:color w:val="667085"/>
          <w:sz w:val="17"/>
        </w:rPr>
        <w:t>Figura 12. Escenarios 2030 y comparación frente al umbral unicornio.</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1584"/>
            <w:vAlign w:val="center"/>
            <w:shd w:fill="0B1F33"/>
          </w:tcPr>
          <w:p>
            <w:r/>
            <w:r>
              <w:rPr>
                <w:rFonts w:ascii="Arial" w:hAnsi="Arial"/>
                <w:b/>
                <w:color w:val="FFFFFF"/>
                <w:sz w:val="15"/>
              </w:rPr>
              <w:t>Escenario</w:t>
            </w:r>
          </w:p>
        </w:tc>
        <w:tc>
          <w:tcPr>
            <w:tcW w:type="dxa" w:w="1656"/>
            <w:vAlign w:val="center"/>
            <w:shd w:fill="0B1F33"/>
          </w:tcPr>
          <w:p>
            <w:r/>
            <w:r>
              <w:rPr>
                <w:rFonts w:ascii="Arial" w:hAnsi="Arial"/>
                <w:b/>
                <w:color w:val="FFFFFF"/>
                <w:sz w:val="15"/>
              </w:rPr>
              <w:t>Ingresos 2030</w:t>
            </w:r>
          </w:p>
        </w:tc>
        <w:tc>
          <w:tcPr>
            <w:tcW w:type="dxa" w:w="1656"/>
            <w:vAlign w:val="center"/>
            <w:shd w:fill="0B1F33"/>
          </w:tcPr>
          <w:p>
            <w:r/>
            <w:r>
              <w:rPr>
                <w:rFonts w:ascii="Arial" w:hAnsi="Arial"/>
                <w:b/>
                <w:color w:val="FFFFFF"/>
                <w:sz w:val="15"/>
              </w:rPr>
              <w:t>EBITDA 2030</w:t>
            </w:r>
          </w:p>
        </w:tc>
        <w:tc>
          <w:tcPr>
            <w:tcW w:type="dxa" w:w="1656"/>
            <w:vAlign w:val="center"/>
            <w:shd w:fill="0B1F33"/>
          </w:tcPr>
          <w:p>
            <w:r/>
            <w:r>
              <w:rPr>
                <w:rFonts w:ascii="Arial" w:hAnsi="Arial"/>
                <w:b/>
                <w:color w:val="FFFFFF"/>
                <w:sz w:val="15"/>
              </w:rPr>
              <w:t>EV midpoint</w:t>
            </w:r>
          </w:p>
        </w:tc>
        <w:tc>
          <w:tcPr>
            <w:tcW w:type="dxa" w:w="2880"/>
            <w:vAlign w:val="center"/>
            <w:shd w:fill="0B1F33"/>
          </w:tcPr>
          <w:p>
            <w:r/>
            <w:r>
              <w:rPr>
                <w:rFonts w:ascii="Arial" w:hAnsi="Arial"/>
                <w:b/>
                <w:color w:val="FFFFFF"/>
                <w:sz w:val="15"/>
              </w:rPr>
              <w:t>Lectura</w:t>
            </w:r>
          </w:p>
        </w:tc>
      </w:tr>
      <w:tr>
        <w:tc>
          <w:tcPr>
            <w:tcW w:type="dxa" w:w="1584"/>
            <w:vAlign w:val="center"/>
            <w:shd w:fill="F7F9FB"/>
          </w:tcPr>
          <w:p>
            <w:r/>
            <w:r>
              <w:rPr>
                <w:rFonts w:ascii="Arial" w:hAnsi="Arial"/>
                <w:b w:val="0"/>
                <w:color w:val="26323F"/>
                <w:sz w:val="15"/>
              </w:rPr>
              <w:t>Guarded</w:t>
            </w:r>
          </w:p>
        </w:tc>
        <w:tc>
          <w:tcPr>
            <w:tcW w:type="dxa" w:w="1656"/>
            <w:vAlign w:val="center"/>
            <w:shd w:fill="F7F9FB"/>
          </w:tcPr>
          <w:p>
            <w:r/>
            <w:r>
              <w:rPr>
                <w:rFonts w:ascii="Arial" w:hAnsi="Arial"/>
                <w:b w:val="0"/>
                <w:color w:val="26323F"/>
                <w:sz w:val="15"/>
              </w:rPr>
              <w:t>122,9 M€</w:t>
            </w:r>
          </w:p>
        </w:tc>
        <w:tc>
          <w:tcPr>
            <w:tcW w:type="dxa" w:w="1656"/>
            <w:vAlign w:val="center"/>
            <w:shd w:fill="F7F9FB"/>
          </w:tcPr>
          <w:p>
            <w:r/>
            <w:r>
              <w:rPr>
                <w:rFonts w:ascii="Arial" w:hAnsi="Arial"/>
                <w:b w:val="0"/>
                <w:color w:val="26323F"/>
                <w:sz w:val="15"/>
              </w:rPr>
              <w:t>62,2 M€</w:t>
            </w:r>
          </w:p>
        </w:tc>
        <w:tc>
          <w:tcPr>
            <w:tcW w:type="dxa" w:w="1656"/>
            <w:vAlign w:val="center"/>
            <w:shd w:fill="F7F9FB"/>
          </w:tcPr>
          <w:p>
            <w:r/>
            <w:r>
              <w:rPr>
                <w:rFonts w:ascii="Arial" w:hAnsi="Arial"/>
                <w:b w:val="0"/>
                <w:color w:val="26323F"/>
                <w:sz w:val="15"/>
              </w:rPr>
              <w:t>773,2 M€</w:t>
            </w:r>
          </w:p>
        </w:tc>
        <w:tc>
          <w:tcPr>
            <w:tcW w:type="dxa" w:w="2880"/>
            <w:vAlign w:val="center"/>
            <w:shd w:fill="F7F9FB"/>
          </w:tcPr>
          <w:p>
            <w:r/>
            <w:r>
              <w:rPr>
                <w:rFonts w:ascii="Arial" w:hAnsi="Arial"/>
                <w:b w:val="0"/>
                <w:color w:val="26323F"/>
                <w:sz w:val="15"/>
              </w:rPr>
              <w:t>Condicionado a volumen, partners, adopción y capital.</w:t>
            </w:r>
          </w:p>
        </w:tc>
      </w:tr>
      <w:tr>
        <w:tc>
          <w:tcPr>
            <w:tcW w:type="dxa" w:w="1584"/>
            <w:vAlign w:val="center"/>
          </w:tcPr>
          <w:p>
            <w:r/>
            <w:r>
              <w:rPr>
                <w:rFonts w:ascii="Arial" w:hAnsi="Arial"/>
                <w:b w:val="0"/>
                <w:color w:val="26323F"/>
                <w:sz w:val="15"/>
              </w:rPr>
              <w:t>Base</w:t>
            </w:r>
          </w:p>
        </w:tc>
        <w:tc>
          <w:tcPr>
            <w:tcW w:type="dxa" w:w="1656"/>
            <w:vAlign w:val="center"/>
          </w:tcPr>
          <w:p>
            <w:r/>
            <w:r>
              <w:rPr>
                <w:rFonts w:ascii="Arial" w:hAnsi="Arial"/>
                <w:b w:val="0"/>
                <w:color w:val="26323F"/>
                <w:sz w:val="15"/>
              </w:rPr>
              <w:t>188,9 M€</w:t>
            </w:r>
          </w:p>
        </w:tc>
        <w:tc>
          <w:tcPr>
            <w:tcW w:type="dxa" w:w="1656"/>
            <w:vAlign w:val="center"/>
          </w:tcPr>
          <w:p>
            <w:r/>
            <w:r>
              <w:rPr>
                <w:rFonts w:ascii="Arial" w:hAnsi="Arial"/>
                <w:b w:val="0"/>
                <w:color w:val="26323F"/>
                <w:sz w:val="15"/>
              </w:rPr>
              <w:t>110,4 M€</w:t>
            </w:r>
          </w:p>
        </w:tc>
        <w:tc>
          <w:tcPr>
            <w:tcW w:type="dxa" w:w="1656"/>
            <w:vAlign w:val="center"/>
          </w:tcPr>
          <w:p>
            <w:r/>
            <w:r>
              <w:rPr>
                <w:rFonts w:ascii="Arial" w:hAnsi="Arial"/>
                <w:b w:val="0"/>
                <w:color w:val="26323F"/>
                <w:sz w:val="15"/>
              </w:rPr>
              <w:t>1.599,8 M€</w:t>
            </w:r>
          </w:p>
        </w:tc>
        <w:tc>
          <w:tcPr>
            <w:tcW w:type="dxa" w:w="2880"/>
            <w:vAlign w:val="center"/>
          </w:tcPr>
          <w:p>
            <w:r/>
            <w:r>
              <w:rPr>
                <w:rFonts w:ascii="Arial" w:hAnsi="Arial"/>
                <w:b w:val="0"/>
                <w:color w:val="26323F"/>
                <w:sz w:val="15"/>
              </w:rPr>
              <w:t>Condicionado a volumen, partners, adopción y capital.</w:t>
            </w:r>
          </w:p>
        </w:tc>
      </w:tr>
      <w:tr>
        <w:tc>
          <w:tcPr>
            <w:tcW w:type="dxa" w:w="1584"/>
            <w:vAlign w:val="center"/>
            <w:shd w:fill="F7F9FB"/>
          </w:tcPr>
          <w:p>
            <w:r/>
            <w:r>
              <w:rPr>
                <w:rFonts w:ascii="Arial" w:hAnsi="Arial"/>
                <w:b w:val="0"/>
                <w:color w:val="26323F"/>
                <w:sz w:val="15"/>
              </w:rPr>
              <w:t>Breakout</w:t>
            </w:r>
          </w:p>
        </w:tc>
        <w:tc>
          <w:tcPr>
            <w:tcW w:type="dxa" w:w="1656"/>
            <w:vAlign w:val="center"/>
            <w:shd w:fill="F7F9FB"/>
          </w:tcPr>
          <w:p>
            <w:r/>
            <w:r>
              <w:rPr>
                <w:rFonts w:ascii="Arial" w:hAnsi="Arial"/>
                <w:b w:val="0"/>
                <w:color w:val="26323F"/>
                <w:sz w:val="15"/>
              </w:rPr>
              <w:t>261,4 M€</w:t>
            </w:r>
          </w:p>
        </w:tc>
        <w:tc>
          <w:tcPr>
            <w:tcW w:type="dxa" w:w="1656"/>
            <w:vAlign w:val="center"/>
            <w:shd w:fill="F7F9FB"/>
          </w:tcPr>
          <w:p>
            <w:r/>
            <w:r>
              <w:rPr>
                <w:rFonts w:ascii="Arial" w:hAnsi="Arial"/>
                <w:b w:val="0"/>
                <w:color w:val="26323F"/>
                <w:sz w:val="15"/>
              </w:rPr>
              <w:t>160,0 M€</w:t>
            </w:r>
          </w:p>
        </w:tc>
        <w:tc>
          <w:tcPr>
            <w:tcW w:type="dxa" w:w="1656"/>
            <w:vAlign w:val="center"/>
            <w:shd w:fill="F7F9FB"/>
          </w:tcPr>
          <w:p>
            <w:r/>
            <w:r>
              <w:rPr>
                <w:rFonts w:ascii="Arial" w:hAnsi="Arial"/>
                <w:b w:val="0"/>
                <w:color w:val="26323F"/>
                <w:sz w:val="15"/>
              </w:rPr>
              <w:t>2.645,8 M€</w:t>
            </w:r>
          </w:p>
        </w:tc>
        <w:tc>
          <w:tcPr>
            <w:tcW w:type="dxa" w:w="2880"/>
            <w:vAlign w:val="center"/>
            <w:shd w:fill="F7F9FB"/>
          </w:tcPr>
          <w:p>
            <w:r/>
            <w:r>
              <w:rPr>
                <w:rFonts w:ascii="Arial" w:hAnsi="Arial"/>
                <w:b w:val="0"/>
                <w:color w:val="26323F"/>
                <w:sz w:val="15"/>
              </w:rPr>
              <w:t>Condicionado a volumen, partners, adopción y capital.</w:t>
            </w:r>
          </w:p>
        </w:tc>
      </w:tr>
    </w:tbl>
    <w:p/>
    <w:p>
      <w:pPr>
        <w:pStyle w:val="Heading1"/>
      </w:pPr>
      <w:r>
        <w:rPr>
          <w:rFonts w:ascii="Arial" w:hAnsi="Arial"/>
          <w:color w:val="0B1F33"/>
        </w:rPr>
        <w:t>13. Riesgos, gates y control</w:t>
      </w:r>
    </w:p>
    <w:p>
      <w:pPr>
        <w:spacing w:line="271" w:lineRule="auto" w:after="120"/>
      </w:pPr>
      <w:r>
        <w:rPr>
          <w:rFonts w:ascii="Arial" w:hAnsi="Arial"/>
          <w:color w:val="26323F"/>
          <w:sz w:val="20"/>
        </w:rPr>
        <w:t>La fortaleza del BP no está en prometer una curva agresiva, sino en convertir cada riesgo en gate observable con decisión predefinida. La versión V11 debe circular como documento vivo pero controlado: cualquier cambio de cifra requiere fuente, responsable, fecha, racional y check contra el Excel validado.</w:t>
      </w:r>
    </w:p>
    <w:p>
      <w:pPr>
        <w:jc w:val="center"/>
      </w:pPr>
      <w:r>
        <w:drawing>
          <wp:inline xmlns:a="http://schemas.openxmlformats.org/drawingml/2006/main" xmlns:pic="http://schemas.openxmlformats.org/drawingml/2006/picture">
            <wp:extent cx="6355080" cy="3707130"/>
            <wp:docPr id="15" name="Picture 15"/>
            <wp:cNvGraphicFramePr>
              <a:graphicFrameLocks noChangeAspect="1"/>
            </wp:cNvGraphicFramePr>
            <a:graphic>
              <a:graphicData uri="http://schemas.openxmlformats.org/drawingml/2006/picture">
                <pic:pic>
                  <pic:nvPicPr>
                    <pic:cNvPr id="0" name="13_risk_gates.png"/>
                    <pic:cNvPicPr/>
                  </pic:nvPicPr>
                  <pic:blipFill>
                    <a:blip r:embed="rId24"/>
                    <a:stretch>
                      <a:fillRect/>
                    </a:stretch>
                  </pic:blipFill>
                  <pic:spPr>
                    <a:xfrm>
                      <a:off x="0" y="0"/>
                      <a:ext cx="6355080" cy="3707130"/>
                    </a:xfrm>
                    <a:prstGeom prst="rect"/>
                  </pic:spPr>
                </pic:pic>
              </a:graphicData>
            </a:graphic>
          </wp:inline>
        </w:drawing>
      </w:r>
    </w:p>
    <w:p>
      <w:pPr>
        <w:spacing w:after="160"/>
        <w:jc w:val="center"/>
      </w:pPr>
      <w:r>
        <w:rPr>
          <w:rFonts w:ascii="Arial" w:hAnsi="Arial"/>
          <w:i/>
          <w:color w:val="667085"/>
          <w:sz w:val="17"/>
        </w:rPr>
        <w:t>Figura 13. Mapa de riesgos, gates y decisiones operativas.</w:t>
      </w:r>
    </w:p>
    <w:p>
      <w:pPr>
        <w:pStyle w:val="Heading2"/>
      </w:pPr>
      <w:r>
        <w:rPr>
          <w:rFonts w:ascii="Arial" w:hAnsi="Arial"/>
          <w:color w:val="0B1F33"/>
        </w:rPr>
        <w:t>13.1. Reglas de defensa ante analista</w:t>
      </w:r>
    </w:p>
    <w:p>
      <w:pPr>
        <w:pStyle w:val="ListBullet"/>
        <w:spacing w:after="60"/>
      </w:pPr>
      <w:r>
        <w:rPr>
          <w:rFonts w:ascii="Arial" w:hAnsi="Arial"/>
          <w:color w:val="26323F"/>
          <w:sz w:val="19"/>
        </w:rPr>
        <w:t>No vender royalties: vender activation, evidence, network services y datos sobre stock vivo.</w:t>
      </w:r>
    </w:p>
    <w:p>
      <w:pPr>
        <w:pStyle w:val="ListBullet"/>
        <w:spacing w:after="60"/>
      </w:pPr>
      <w:r>
        <w:rPr>
          <w:rFonts w:ascii="Arial" w:hAnsi="Arial"/>
          <w:color w:val="26323F"/>
          <w:sz w:val="19"/>
        </w:rPr>
        <w:t>No presentar CUEVA como constructora: CUEVA habilita, verifica y opera activos construidos.</w:t>
      </w:r>
    </w:p>
    <w:p>
      <w:pPr>
        <w:pStyle w:val="ListBullet"/>
        <w:spacing w:after="60"/>
      </w:pPr>
      <w:r>
        <w:rPr>
          <w:rFonts w:ascii="Arial" w:hAnsi="Arial"/>
          <w:color w:val="26323F"/>
          <w:sz w:val="19"/>
        </w:rPr>
        <w:t>El unicornio no es garantía: es outcome condicionado a hitos, capital y ejecución.</w:t>
      </w:r>
    </w:p>
    <w:p>
      <w:pPr>
        <w:pStyle w:val="ListBullet"/>
        <w:spacing w:after="60"/>
      </w:pPr>
      <w:r>
        <w:rPr>
          <w:rFonts w:ascii="Arial" w:hAnsi="Arial"/>
          <w:color w:val="26323F"/>
          <w:sz w:val="19"/>
        </w:rPr>
        <w:t>Separar ingresos por calidad: recurrente, contractual one-shot, servicios, proyecto y upside.</w:t>
      </w:r>
    </w:p>
    <w:p>
      <w:pPr>
        <w:pStyle w:val="ListBullet"/>
        <w:spacing w:after="60"/>
      </w:pPr>
      <w:r>
        <w:rPr>
          <w:rFonts w:ascii="Arial" w:hAnsi="Arial"/>
          <w:color w:val="26323F"/>
          <w:sz w:val="19"/>
        </w:rPr>
        <w:t>En iPath, hablar de recepción documental, mantenimiento, TCO, circularidad, SLA y disponibilidad.</w:t>
      </w:r>
    </w:p>
    <w:p>
      <w:pPr>
        <w:pStyle w:val="ListBullet"/>
        <w:spacing w:after="60"/>
      </w:pPr>
      <w:r>
        <w:rPr>
          <w:rFonts w:ascii="Arial" w:hAnsi="Arial"/>
          <w:color w:val="26323F"/>
          <w:sz w:val="19"/>
        </w:rPr>
        <w:t>POI antes que DPP: primero la prueba física; después el pasaporte vivo.</w:t>
      </w:r>
    </w:p>
    <w:p>
      <w:pPr>
        <w:pStyle w:val="ListBullet"/>
        <w:spacing w:after="60"/>
      </w:pPr>
      <w:r>
        <w:rPr>
          <w:rFonts w:ascii="Arial" w:hAnsi="Arial"/>
          <w:color w:val="26323F"/>
          <w:sz w:val="19"/>
        </w:rPr>
        <w:t>En valoración, usar bridge por hitos y suma de partes como contraste.</w:t>
      </w:r>
    </w:p>
    <w:p>
      <w:pPr>
        <w:pStyle w:val="Heading1"/>
      </w:pPr>
      <w:r>
        <w:rPr>
          <w:rFonts w:ascii="Arial" w:hAnsi="Arial"/>
          <w:color w:val="0B1F33"/>
        </w:rPr>
        <w:t>14. Estructura de inversión y documentación de soporte</w:t>
      </w:r>
    </w:p>
    <w:p>
      <w:pPr>
        <w:spacing w:line="271" w:lineRule="auto" w:after="120"/>
      </w:pPr>
      <w:r>
        <w:rPr>
          <w:rFonts w:ascii="Arial" w:hAnsi="Arial"/>
          <w:color w:val="26323F"/>
          <w:sz w:val="20"/>
        </w:rPr>
        <w:t>Para posibles interesados cualificados se plantea una conversación flexible: aportación directa, préstamo participativo o instrumento convertible, siempre vinculado a gates de ejecución. El escenario 2030 no debe venderse como pre-money actual; la conversación se ancla en el valor actual defendido, el plan 300K y la mejora de posición esperada a 2027.</w:t>
      </w:r>
    </w:p>
    <w:tbl>
      <w:tblPr>
        <w:tblStyle w:val="TableGrid"/>
        <w:tblW w:type="auto" w:w="0"/>
        <w:tblLook w:firstColumn="1" w:firstRow="1" w:lastColumn="0" w:lastRow="0" w:noHBand="0" w:noVBand="1" w:val="04A0"/>
      </w:tblPr>
      <w:tblGrid>
        <w:gridCol w:w="5184"/>
        <w:gridCol w:w="5184"/>
      </w:tblGrid>
      <w:tr>
        <w:tc>
          <w:tcPr>
            <w:tcW w:type="dxa" w:w="3600"/>
            <w:vAlign w:val="center"/>
            <w:shd w:fill="0B1F33"/>
          </w:tcPr>
          <w:p>
            <w:r/>
            <w:r>
              <w:rPr>
                <w:rFonts w:ascii="Arial" w:hAnsi="Arial"/>
                <w:b/>
                <w:color w:val="FFFFFF"/>
                <w:sz w:val="15"/>
              </w:rPr>
              <w:t>Documento / fuente</w:t>
            </w:r>
          </w:p>
        </w:tc>
        <w:tc>
          <w:tcPr>
            <w:tcW w:type="dxa" w:w="5760"/>
            <w:vAlign w:val="center"/>
            <w:shd w:fill="0B1F33"/>
          </w:tcPr>
          <w:p>
            <w:r/>
            <w:r>
              <w:rPr>
                <w:rFonts w:ascii="Arial" w:hAnsi="Arial"/>
                <w:b/>
                <w:color w:val="FFFFFF"/>
                <w:sz w:val="15"/>
              </w:rPr>
              <w:t>Uso en el BP V11</w:t>
            </w:r>
          </w:p>
        </w:tc>
      </w:tr>
      <w:tr>
        <w:tc>
          <w:tcPr>
            <w:tcW w:type="dxa" w:w="3600"/>
            <w:vAlign w:val="center"/>
            <w:shd w:fill="F7F9FB"/>
          </w:tcPr>
          <w:p>
            <w:r/>
            <w:r>
              <w:rPr>
                <w:rFonts w:ascii="Arial" w:hAnsi="Arial"/>
                <w:b w:val="0"/>
                <w:color w:val="26323F"/>
                <w:sz w:val="15"/>
              </w:rPr>
              <w:t>CUEVA_BP_TOTAL_Y_MEMORANDO_INVERSOR_V10_2026-07-13.docx</w:t>
            </w:r>
          </w:p>
        </w:tc>
        <w:tc>
          <w:tcPr>
            <w:tcW w:type="dxa" w:w="5760"/>
            <w:vAlign w:val="center"/>
            <w:shd w:fill="F7F9FB"/>
          </w:tcPr>
          <w:p>
            <w:r/>
            <w:r>
              <w:rPr>
                <w:rFonts w:ascii="Arial" w:hAnsi="Arial"/>
                <w:b w:val="0"/>
                <w:color w:val="26323F"/>
                <w:sz w:val="15"/>
              </w:rPr>
              <w:t>Contenido base, narrativa de Asset OS, estructura total y matriz de producto/modelo.</w:t>
            </w:r>
          </w:p>
        </w:tc>
      </w:tr>
      <w:tr>
        <w:tc>
          <w:tcPr>
            <w:tcW w:type="dxa" w:w="3600"/>
            <w:vAlign w:val="center"/>
          </w:tcPr>
          <w:p>
            <w:r/>
            <w:r>
              <w:rPr>
                <w:rFonts w:ascii="Arial" w:hAnsi="Arial"/>
                <w:b w:val="0"/>
                <w:color w:val="26323F"/>
                <w:sz w:val="15"/>
              </w:rPr>
              <w:t>CUEVA_MODELO_FINANCIERO_V8_VALIDADO_2026-07-13.xlsx</w:t>
            </w:r>
          </w:p>
        </w:tc>
        <w:tc>
          <w:tcPr>
            <w:tcW w:type="dxa" w:w="5760"/>
            <w:vAlign w:val="center"/>
          </w:tcPr>
          <w:p>
            <w:r/>
            <w:r>
              <w:rPr>
                <w:rFonts w:ascii="Arial" w:hAnsi="Arial"/>
                <w:b w:val="0"/>
                <w:color w:val="26323F"/>
                <w:sz w:val="15"/>
              </w:rPr>
              <w:t>Cifras definitivas de plan 300K, 2027, 2030, valoración, escenarios y stress.</w:t>
            </w:r>
          </w:p>
        </w:tc>
      </w:tr>
      <w:tr>
        <w:tc>
          <w:tcPr>
            <w:tcW w:type="dxa" w:w="3600"/>
            <w:vAlign w:val="center"/>
            <w:shd w:fill="F7F9FB"/>
          </w:tcPr>
          <w:p>
            <w:r/>
            <w:r>
              <w:rPr>
                <w:rFonts w:ascii="Arial" w:hAnsi="Arial"/>
                <w:b w:val="0"/>
                <w:color w:val="26323F"/>
                <w:sz w:val="15"/>
              </w:rPr>
              <w:t>BP narrativo de referencia 10/07/2026</w:t>
            </w:r>
          </w:p>
        </w:tc>
        <w:tc>
          <w:tcPr>
            <w:tcW w:type="dxa" w:w="5760"/>
            <w:vAlign w:val="center"/>
            <w:shd w:fill="F7F9FB"/>
          </w:tcPr>
          <w:p>
            <w:r/>
            <w:r>
              <w:rPr>
                <w:rFonts w:ascii="Arial" w:hAnsi="Arial"/>
                <w:b w:val="0"/>
                <w:color w:val="26323F"/>
                <w:sz w:val="15"/>
              </w:rPr>
              <w:t>Estructura inversora, claridad expositiva y lectura de tesis.</w:t>
            </w:r>
          </w:p>
        </w:tc>
      </w:tr>
      <w:tr>
        <w:tc>
          <w:tcPr>
            <w:tcW w:type="dxa" w:w="3600"/>
            <w:vAlign w:val="center"/>
          </w:tcPr>
          <w:p>
            <w:r/>
            <w:r>
              <w:rPr>
                <w:rFonts w:ascii="Arial" w:hAnsi="Arial"/>
                <w:b w:val="0"/>
                <w:color w:val="26323F"/>
                <w:sz w:val="15"/>
              </w:rPr>
              <w:t>Informe de inversión y producto CUEVA OS V4</w:t>
            </w:r>
          </w:p>
        </w:tc>
        <w:tc>
          <w:tcPr>
            <w:tcW w:type="dxa" w:w="5760"/>
            <w:vAlign w:val="center"/>
          </w:tcPr>
          <w:p>
            <w:r/>
            <w:r>
              <w:rPr>
                <w:rFonts w:ascii="Arial" w:hAnsi="Arial"/>
                <w:b w:val="0"/>
                <w:color w:val="26323F"/>
                <w:sz w:val="15"/>
              </w:rPr>
              <w:t>Base de valoración actual, familias técnicas, TRL, evidencias y benchmarks.</w:t>
            </w:r>
          </w:p>
        </w:tc>
      </w:tr>
      <w:tr>
        <w:tc>
          <w:tcPr>
            <w:tcW w:type="dxa" w:w="3600"/>
            <w:vAlign w:val="center"/>
            <w:shd w:fill="F7F9FB"/>
          </w:tcPr>
          <w:p>
            <w:r/>
            <w:r>
              <w:rPr>
                <w:rFonts w:ascii="Arial" w:hAnsi="Arial"/>
                <w:b w:val="0"/>
                <w:color w:val="26323F"/>
                <w:sz w:val="15"/>
              </w:rPr>
              <w:t>Memorias CDTI, Cervera, Tax Lease y CEREBRO</w:t>
            </w:r>
          </w:p>
        </w:tc>
        <w:tc>
          <w:tcPr>
            <w:tcW w:type="dxa" w:w="5760"/>
            <w:vAlign w:val="center"/>
            <w:shd w:fill="F7F9FB"/>
          </w:tcPr>
          <w:p>
            <w:r/>
            <w:r>
              <w:rPr>
                <w:rFonts w:ascii="Arial" w:hAnsi="Arial"/>
                <w:b w:val="0"/>
                <w:color w:val="26323F"/>
                <w:sz w:val="15"/>
              </w:rPr>
              <w:t>Triangulación técnica y defensa de alcance de reproducción.</w:t>
            </w:r>
          </w:p>
        </w:tc>
      </w:tr>
      <w:tr>
        <w:tc>
          <w:tcPr>
            <w:tcW w:type="dxa" w:w="3600"/>
            <w:vAlign w:val="center"/>
          </w:tcPr>
          <w:p>
            <w:r/>
            <w:r>
              <w:rPr>
                <w:rFonts w:ascii="Arial" w:hAnsi="Arial"/>
                <w:b w:val="0"/>
                <w:color w:val="26323F"/>
                <w:sz w:val="15"/>
              </w:rPr>
              <w:t>Carta de Servicios, Benefits OS, iPath, white paper blockchain y vivienda generativa</w:t>
            </w:r>
          </w:p>
        </w:tc>
        <w:tc>
          <w:tcPr>
            <w:tcW w:type="dxa" w:w="5760"/>
            <w:vAlign w:val="center"/>
          </w:tcPr>
          <w:p>
            <w:r/>
            <w:r>
              <w:rPr>
                <w:rFonts w:ascii="Arial" w:hAnsi="Arial"/>
                <w:b w:val="0"/>
                <w:color w:val="26323F"/>
                <w:sz w:val="15"/>
              </w:rPr>
              <w:t>Producto, verticales, beneficios, activos digitales y extensiones futuras.</w:t>
            </w:r>
          </w:p>
        </w:tc>
      </w:tr>
    </w:tbl>
    <w:p/>
    <w:p>
      <w:pPr>
        <w:spacing w:after="100"/>
        <w:ind w:left="216"/>
      </w:pPr>
      <w:r>
        <w:rPr>
          <w:rFonts w:ascii="Arial" w:hAnsi="Arial"/>
          <w:i/>
          <w:color w:val="667085"/>
          <w:sz w:val="17"/>
        </w:rPr>
        <w:t>Este documento no sustituye revisión legal, fiscal, contable o técnica independiente. Las proyecciones son modelos de gestión condicionados a ejecución, contratos, cobros, capital y mercado.</w:t>
      </w:r>
    </w:p>
    <w:p>
      <w:pPr>
        <w:pStyle w:val="Heading1"/>
      </w:pPr>
      <w:r>
        <w:rPr>
          <w:rFonts w:ascii="Arial" w:hAnsi="Arial"/>
          <w:color w:val="0B1F33"/>
        </w:rPr>
        <w:t>15. Cierre</w:t>
      </w:r>
    </w:p>
    <w:p>
      <w:pPr>
        <w:spacing w:line="271" w:lineRule="auto" w:after="120"/>
      </w:pPr>
      <w:r>
        <w:rPr>
          <w:rFonts w:ascii="Arial" w:hAnsi="Arial"/>
          <w:color w:val="26323F"/>
          <w:sz w:val="20"/>
        </w:rPr>
        <w:t>La forma correcta de vender CUEVA es ambiciosa pero verificable. El activo ya construido permite defender una base de 4,216 M€. El tramo de 300K convierte esa base en producto comercial, pipeline gobernado y primer caso de red. El plan 2030 es el resultado posible si los hitos liberan capital, partners y m². La oportunidad no está en prometer más: está en demostrar más rápido, con evidencia y con disciplina.</w:t>
      </w:r>
    </w:p>
    <w:tbl>
      <w:tblPr>
        <w:tblStyle w:val="TableGrid"/>
        <w:tblW w:type="auto" w:w="0"/>
        <w:tblLook w:firstColumn="1" w:firstRow="1" w:lastColumn="0" w:lastRow="0" w:noHBand="0" w:noVBand="1" w:val="04A0"/>
      </w:tblPr>
      <w:tblGrid>
        <w:gridCol w:w="3456"/>
        <w:gridCol w:w="3456"/>
        <w:gridCol w:w="3456"/>
      </w:tblGrid>
      <w:tr>
        <w:tc>
          <w:tcPr>
            <w:tcW w:type="dxa" w:w="2448"/>
            <w:vAlign w:val="center"/>
            <w:shd w:fill="0B1F33"/>
          </w:tcPr>
          <w:p>
            <w:r/>
            <w:r>
              <w:rPr>
                <w:rFonts w:ascii="Arial" w:hAnsi="Arial"/>
                <w:b/>
                <w:color w:val="FFFFFF"/>
                <w:sz w:val="15"/>
              </w:rPr>
              <w:t>Problema sectorial</w:t>
            </w:r>
          </w:p>
        </w:tc>
        <w:tc>
          <w:tcPr>
            <w:tcW w:type="dxa" w:w="3744"/>
            <w:vAlign w:val="center"/>
            <w:shd w:fill="0B1F33"/>
          </w:tcPr>
          <w:p>
            <w:r/>
            <w:r>
              <w:rPr>
                <w:rFonts w:ascii="Arial" w:hAnsi="Arial"/>
                <w:b/>
                <w:color w:val="FFFFFF"/>
                <w:sz w:val="15"/>
              </w:rPr>
              <w:t>Aporte CUEVA</w:t>
            </w:r>
          </w:p>
        </w:tc>
        <w:tc>
          <w:tcPr>
            <w:tcW w:type="dxa" w:w="3168"/>
            <w:vAlign w:val="center"/>
            <w:shd w:fill="0B1F33"/>
          </w:tcPr>
          <w:p>
            <w:r/>
            <w:r>
              <w:rPr>
                <w:rFonts w:ascii="Arial" w:hAnsi="Arial"/>
                <w:b/>
                <w:color w:val="FFFFFF"/>
                <w:sz w:val="15"/>
              </w:rPr>
              <w:t>Cambio esperado</w:t>
            </w:r>
          </w:p>
        </w:tc>
      </w:tr>
      <w:tr>
        <w:tc>
          <w:tcPr>
            <w:tcW w:type="dxa" w:w="2448"/>
            <w:vAlign w:val="center"/>
            <w:shd w:fill="F7F9FB"/>
          </w:tcPr>
          <w:p>
            <w:r/>
            <w:r>
              <w:rPr>
                <w:rFonts w:ascii="Arial" w:hAnsi="Arial"/>
                <w:b w:val="0"/>
                <w:color w:val="26323F"/>
                <w:sz w:val="15"/>
              </w:rPr>
              <w:t>Circularidad y residuos</w:t>
            </w:r>
          </w:p>
        </w:tc>
        <w:tc>
          <w:tcPr>
            <w:tcW w:type="dxa" w:w="3744"/>
            <w:vAlign w:val="center"/>
            <w:shd w:fill="F7F9FB"/>
          </w:tcPr>
          <w:p>
            <w:r/>
            <w:r>
              <w:rPr>
                <w:rFonts w:ascii="Arial" w:hAnsi="Arial"/>
                <w:b w:val="0"/>
                <w:color w:val="26323F"/>
                <w:sz w:val="15"/>
              </w:rPr>
              <w:t>DPP, Circular Ledger, materiales, ciclos, reutilización y fin de vida.</w:t>
            </w:r>
          </w:p>
        </w:tc>
        <w:tc>
          <w:tcPr>
            <w:tcW w:type="dxa" w:w="3168"/>
            <w:vAlign w:val="center"/>
            <w:shd w:fill="F7F9FB"/>
          </w:tcPr>
          <w:p>
            <w:r/>
            <w:r>
              <w:rPr>
                <w:rFonts w:ascii="Arial" w:hAnsi="Arial"/>
                <w:b w:val="0"/>
                <w:color w:val="26323F"/>
                <w:sz w:val="15"/>
              </w:rPr>
              <w:t>Mejor reporte ESG, menor pérdida de material y reutilización verificable.</w:t>
            </w:r>
          </w:p>
        </w:tc>
      </w:tr>
      <w:tr>
        <w:tc>
          <w:tcPr>
            <w:tcW w:type="dxa" w:w="2448"/>
            <w:vAlign w:val="center"/>
          </w:tcPr>
          <w:p>
            <w:r/>
            <w:r>
              <w:rPr>
                <w:rFonts w:ascii="Arial" w:hAnsi="Arial"/>
                <w:b w:val="0"/>
                <w:color w:val="26323F"/>
                <w:sz w:val="15"/>
              </w:rPr>
              <w:t>Trazabilidad y recepción</w:t>
            </w:r>
          </w:p>
        </w:tc>
        <w:tc>
          <w:tcPr>
            <w:tcW w:type="dxa" w:w="3744"/>
            <w:vAlign w:val="center"/>
          </w:tcPr>
          <w:p>
            <w:r/>
            <w:r>
              <w:rPr>
                <w:rFonts w:ascii="Arial" w:hAnsi="Arial"/>
                <w:b w:val="0"/>
                <w:color w:val="26323F"/>
                <w:sz w:val="15"/>
              </w:rPr>
              <w:t>POI, audit trail, timestamp, responsable, ubicación y dossier.</w:t>
            </w:r>
          </w:p>
        </w:tc>
        <w:tc>
          <w:tcPr>
            <w:tcW w:type="dxa" w:w="3168"/>
            <w:vAlign w:val="center"/>
          </w:tcPr>
          <w:p>
            <w:r/>
            <w:r>
              <w:rPr>
                <w:rFonts w:ascii="Arial" w:hAnsi="Arial"/>
                <w:b w:val="0"/>
                <w:color w:val="26323F"/>
                <w:sz w:val="15"/>
              </w:rPr>
              <w:t>Menos disputas, cierres más rápidos y evidencias defendibles.</w:t>
            </w:r>
          </w:p>
        </w:tc>
      </w:tr>
      <w:tr>
        <w:tc>
          <w:tcPr>
            <w:tcW w:type="dxa" w:w="2448"/>
            <w:vAlign w:val="center"/>
            <w:shd w:fill="F7F9FB"/>
          </w:tcPr>
          <w:p>
            <w:r/>
            <w:r>
              <w:rPr>
                <w:rFonts w:ascii="Arial" w:hAnsi="Arial"/>
                <w:b w:val="0"/>
                <w:color w:val="26323F"/>
                <w:sz w:val="15"/>
              </w:rPr>
              <w:t>Escasez de personal técnico</w:t>
            </w:r>
          </w:p>
        </w:tc>
        <w:tc>
          <w:tcPr>
            <w:tcW w:type="dxa" w:w="3744"/>
            <w:vAlign w:val="center"/>
            <w:shd w:fill="F7F9FB"/>
          </w:tcPr>
          <w:p>
            <w:r/>
            <w:r>
              <w:rPr>
                <w:rFonts w:ascii="Arial" w:hAnsi="Arial"/>
                <w:b w:val="0"/>
                <w:color w:val="26323F"/>
                <w:sz w:val="15"/>
              </w:rPr>
              <w:t>Designer, API, reglas generativas, ingeniería virtual y automatización.</w:t>
            </w:r>
          </w:p>
        </w:tc>
        <w:tc>
          <w:tcPr>
            <w:tcW w:type="dxa" w:w="3168"/>
            <w:vAlign w:val="center"/>
            <w:shd w:fill="F7F9FB"/>
          </w:tcPr>
          <w:p>
            <w:r/>
            <w:r>
              <w:rPr>
                <w:rFonts w:ascii="Arial" w:hAnsi="Arial"/>
                <w:b w:val="0"/>
                <w:color w:val="26323F"/>
                <w:sz w:val="15"/>
              </w:rPr>
              <w:t>Captura de conocimiento y menor dependencia de perfiles escasos.</w:t>
            </w:r>
          </w:p>
        </w:tc>
      </w:tr>
      <w:tr>
        <w:tc>
          <w:tcPr>
            <w:tcW w:type="dxa" w:w="2448"/>
            <w:vAlign w:val="center"/>
          </w:tcPr>
          <w:p>
            <w:r/>
            <w:r>
              <w:rPr>
                <w:rFonts w:ascii="Arial" w:hAnsi="Arial"/>
                <w:b w:val="0"/>
                <w:color w:val="26323F"/>
                <w:sz w:val="15"/>
              </w:rPr>
              <w:t>Fragmentación entre agentes</w:t>
            </w:r>
          </w:p>
        </w:tc>
        <w:tc>
          <w:tcPr>
            <w:tcW w:type="dxa" w:w="3744"/>
            <w:vAlign w:val="center"/>
          </w:tcPr>
          <w:p>
            <w:r/>
            <w:r>
              <w:rPr>
                <w:rFonts w:ascii="Arial" w:hAnsi="Arial"/>
                <w:b w:val="0"/>
                <w:color w:val="26323F"/>
                <w:sz w:val="15"/>
              </w:rPr>
              <w:t>Project Room, perfiles, permisos, dashboards, conectores y Market OS.</w:t>
            </w:r>
          </w:p>
        </w:tc>
        <w:tc>
          <w:tcPr>
            <w:tcW w:type="dxa" w:w="3168"/>
            <w:vAlign w:val="center"/>
          </w:tcPr>
          <w:p>
            <w:r/>
            <w:r>
              <w:rPr>
                <w:rFonts w:ascii="Arial" w:hAnsi="Arial"/>
                <w:b w:val="0"/>
                <w:color w:val="26323F"/>
                <w:sz w:val="15"/>
              </w:rPr>
              <w:t>Coordinación, continuidad documental y decisión basada en datos.</w:t>
            </w:r>
          </w:p>
        </w:tc>
      </w:tr>
      <w:tr>
        <w:tc>
          <w:tcPr>
            <w:tcW w:type="dxa" w:w="2448"/>
            <w:vAlign w:val="center"/>
            <w:shd w:fill="F7F9FB"/>
          </w:tcPr>
          <w:p>
            <w:r/>
            <w:r>
              <w:rPr>
                <w:rFonts w:ascii="Arial" w:hAnsi="Arial"/>
                <w:b w:val="0"/>
                <w:color w:val="26323F"/>
                <w:sz w:val="15"/>
              </w:rPr>
              <w:t>Coste, plazo y logística</w:t>
            </w:r>
          </w:p>
        </w:tc>
        <w:tc>
          <w:tcPr>
            <w:tcW w:type="dxa" w:w="3744"/>
            <w:vAlign w:val="center"/>
            <w:shd w:fill="F7F9FB"/>
          </w:tcPr>
          <w:p>
            <w:r/>
            <w:r>
              <w:rPr>
                <w:rFonts w:ascii="Arial" w:hAnsi="Arial"/>
                <w:b w:val="0"/>
                <w:color w:val="26323F"/>
                <w:sz w:val="15"/>
              </w:rPr>
              <w:t>Factory Core, Factory Flow, Warehouse OS, rutas, packing y Site Proof.</w:t>
            </w:r>
          </w:p>
        </w:tc>
        <w:tc>
          <w:tcPr>
            <w:tcW w:type="dxa" w:w="3168"/>
            <w:vAlign w:val="center"/>
            <w:shd w:fill="F7F9FB"/>
          </w:tcPr>
          <w:p>
            <w:r/>
            <w:r>
              <w:rPr>
                <w:rFonts w:ascii="Arial" w:hAnsi="Arial"/>
                <w:b w:val="0"/>
                <w:color w:val="26323F"/>
                <w:sz w:val="15"/>
              </w:rPr>
              <w:t>Control de estados, costes reales, incidencias y recepción por hito.</w:t>
            </w:r>
          </w:p>
        </w:tc>
      </w:tr>
      <w:tr>
        <w:tc>
          <w:tcPr>
            <w:tcW w:type="dxa" w:w="2448"/>
            <w:vAlign w:val="center"/>
          </w:tcPr>
          <w:p>
            <w:r/>
            <w:r>
              <w:rPr>
                <w:rFonts w:ascii="Arial" w:hAnsi="Arial"/>
                <w:b w:val="0"/>
                <w:color w:val="26323F"/>
                <w:sz w:val="15"/>
              </w:rPr>
              <w:t>Financiación y explotación</w:t>
            </w:r>
          </w:p>
        </w:tc>
        <w:tc>
          <w:tcPr>
            <w:tcW w:type="dxa" w:w="3744"/>
            <w:vAlign w:val="center"/>
          </w:tcPr>
          <w:p>
            <w:r/>
            <w:r>
              <w:rPr>
                <w:rFonts w:ascii="Arial" w:hAnsi="Arial"/>
                <w:b w:val="0"/>
                <w:color w:val="26323F"/>
                <w:sz w:val="15"/>
              </w:rPr>
              <w:t>Activos digitales, datos, mantenimiento, derechos y marketplace.</w:t>
            </w:r>
          </w:p>
        </w:tc>
        <w:tc>
          <w:tcPr>
            <w:tcW w:type="dxa" w:w="3168"/>
            <w:vAlign w:val="center"/>
          </w:tcPr>
          <w:p>
            <w:r/>
            <w:r>
              <w:rPr>
                <w:rFonts w:ascii="Arial" w:hAnsi="Arial"/>
                <w:b w:val="0"/>
                <w:color w:val="26323F"/>
                <w:sz w:val="15"/>
              </w:rPr>
              <w:t>Puente entre activo físico, evidencia, servicio, financiación y transacción.</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085"/>
        <w:sz w:val="16"/>
      </w:rPr>
      <w:t>CUEVA · Documento confidencial para posibles interesados cualificados · V11 · 15/07/2026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rial" w:hAnsi="Arial"/>
      <w:b/>
      <w:bCs/>
      <w:color w:val="0B1F33"/>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B1F33"/>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B1F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